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421" w:rsidRPr="00CD67E1" w:rsidRDefault="00503421" w:rsidP="00C17A7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D67E1" w:rsidRPr="00CD67E1" w:rsidRDefault="00CD67E1" w:rsidP="00C17A7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D67E1" w:rsidRPr="00CD67E1" w:rsidRDefault="00CD67E1" w:rsidP="00C17A7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D67E1" w:rsidRPr="00CD67E1" w:rsidRDefault="00CD67E1" w:rsidP="00C17A7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D67E1" w:rsidRPr="00CD67E1" w:rsidRDefault="00CD67E1" w:rsidP="00C17A7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D67E1" w:rsidRPr="00CD67E1" w:rsidRDefault="00CD67E1" w:rsidP="00C17A7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03421" w:rsidRPr="00CD67E1" w:rsidRDefault="00503421" w:rsidP="00C17A70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D67E1">
        <w:rPr>
          <w:rFonts w:ascii="Times New Roman" w:hAnsi="Times New Roman" w:cs="Times New Roman"/>
          <w:b/>
          <w:sz w:val="52"/>
          <w:szCs w:val="52"/>
        </w:rPr>
        <w:t>D - 0</w:t>
      </w:r>
      <w:r w:rsidR="00A349D2" w:rsidRPr="00CD67E1">
        <w:rPr>
          <w:rFonts w:ascii="Times New Roman" w:hAnsi="Times New Roman" w:cs="Times New Roman"/>
          <w:b/>
          <w:sz w:val="52"/>
          <w:szCs w:val="52"/>
        </w:rPr>
        <w:t>5</w:t>
      </w:r>
      <w:r w:rsidRPr="00CD67E1">
        <w:rPr>
          <w:rFonts w:ascii="Times New Roman" w:hAnsi="Times New Roman" w:cs="Times New Roman"/>
          <w:b/>
          <w:sz w:val="52"/>
          <w:szCs w:val="52"/>
        </w:rPr>
        <w:t>.0</w:t>
      </w:r>
      <w:r w:rsidR="00A349D2" w:rsidRPr="00CD67E1">
        <w:rPr>
          <w:rFonts w:ascii="Times New Roman" w:hAnsi="Times New Roman" w:cs="Times New Roman"/>
          <w:b/>
          <w:sz w:val="52"/>
          <w:szCs w:val="52"/>
        </w:rPr>
        <w:t>2</w:t>
      </w:r>
      <w:r w:rsidRPr="00CD67E1">
        <w:rPr>
          <w:rFonts w:ascii="Times New Roman" w:hAnsi="Times New Roman" w:cs="Times New Roman"/>
          <w:b/>
          <w:sz w:val="52"/>
          <w:szCs w:val="52"/>
        </w:rPr>
        <w:t>.0</w:t>
      </w:r>
      <w:r w:rsidR="00A349D2" w:rsidRPr="00CD67E1">
        <w:rPr>
          <w:rFonts w:ascii="Times New Roman" w:hAnsi="Times New Roman" w:cs="Times New Roman"/>
          <w:b/>
          <w:sz w:val="52"/>
          <w:szCs w:val="52"/>
        </w:rPr>
        <w:t>1</w:t>
      </w:r>
    </w:p>
    <w:p w:rsidR="004B5428" w:rsidRPr="00CD67E1" w:rsidRDefault="00CD67E1" w:rsidP="00C17A70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D67E1">
        <w:rPr>
          <w:rFonts w:ascii="Times New Roman" w:hAnsi="Times New Roman" w:cs="Times New Roman"/>
          <w:b/>
          <w:sz w:val="52"/>
          <w:szCs w:val="52"/>
        </w:rPr>
        <w:t xml:space="preserve">Nawierzchnia </w:t>
      </w:r>
      <w:r w:rsidR="00F5763F">
        <w:rPr>
          <w:rFonts w:ascii="Times New Roman" w:hAnsi="Times New Roman" w:cs="Times New Roman"/>
          <w:b/>
          <w:sz w:val="52"/>
          <w:szCs w:val="52"/>
        </w:rPr>
        <w:t>z klińca</w:t>
      </w:r>
    </w:p>
    <w:p w:rsidR="002E5EFC" w:rsidRDefault="002E5EFC" w:rsidP="00C17A70"/>
    <w:p w:rsidR="007B3B52" w:rsidRDefault="002E5EFC" w:rsidP="002E650F">
      <w:pPr>
        <w:pStyle w:val="Nagwek1"/>
      </w:pPr>
      <w:r>
        <w:br w:type="page"/>
      </w:r>
      <w:r w:rsidR="007B3B52">
        <w:lastRenderedPageBreak/>
        <w:t>WSTĘP</w:t>
      </w:r>
    </w:p>
    <w:p w:rsidR="007B3B52" w:rsidRPr="008C7A31" w:rsidRDefault="007B3B52" w:rsidP="002E650F">
      <w:pPr>
        <w:pStyle w:val="Nagwek2"/>
        <w:rPr>
          <w:sz w:val="20"/>
          <w:szCs w:val="20"/>
        </w:rPr>
      </w:pPr>
      <w:r w:rsidRPr="008C7A31">
        <w:rPr>
          <w:sz w:val="20"/>
          <w:szCs w:val="20"/>
        </w:rPr>
        <w:t>Przedmiot</w:t>
      </w:r>
      <w:r w:rsidRPr="008C7A31">
        <w:rPr>
          <w:spacing w:val="-3"/>
          <w:sz w:val="20"/>
          <w:szCs w:val="20"/>
        </w:rPr>
        <w:t xml:space="preserve"> </w:t>
      </w:r>
      <w:r w:rsidRPr="008C7A31">
        <w:rPr>
          <w:sz w:val="20"/>
          <w:szCs w:val="20"/>
        </w:rPr>
        <w:t>S</w:t>
      </w:r>
      <w:r w:rsidR="002E650F" w:rsidRPr="008C7A31">
        <w:rPr>
          <w:sz w:val="20"/>
          <w:szCs w:val="20"/>
        </w:rPr>
        <w:t>S</w:t>
      </w:r>
      <w:r w:rsidRPr="008C7A31">
        <w:rPr>
          <w:sz w:val="20"/>
          <w:szCs w:val="20"/>
        </w:rPr>
        <w:t>T.</w:t>
      </w:r>
    </w:p>
    <w:p w:rsidR="007B3B52" w:rsidRPr="008C7A31" w:rsidRDefault="002E650F" w:rsidP="007B3B52">
      <w:pPr>
        <w:rPr>
          <w:sz w:val="20"/>
          <w:szCs w:val="20"/>
        </w:rPr>
      </w:pPr>
      <w:r w:rsidRPr="008C7A31">
        <w:rPr>
          <w:sz w:val="20"/>
          <w:szCs w:val="20"/>
        </w:rPr>
        <w:tab/>
      </w:r>
      <w:r w:rsidR="007B3B52" w:rsidRPr="008C7A31">
        <w:rPr>
          <w:sz w:val="20"/>
          <w:szCs w:val="20"/>
        </w:rPr>
        <w:t xml:space="preserve">Przedmiotem niniejszej </w:t>
      </w:r>
      <w:r w:rsidR="00B40A43" w:rsidRPr="008C7A31">
        <w:rPr>
          <w:sz w:val="20"/>
          <w:szCs w:val="20"/>
        </w:rPr>
        <w:t>s</w:t>
      </w:r>
      <w:r w:rsidRPr="008C7A31">
        <w:rPr>
          <w:sz w:val="20"/>
          <w:szCs w:val="20"/>
        </w:rPr>
        <w:t xml:space="preserve">zczegółowej </w:t>
      </w:r>
      <w:r w:rsidR="00B40A43" w:rsidRPr="008C7A31">
        <w:rPr>
          <w:sz w:val="20"/>
          <w:szCs w:val="20"/>
        </w:rPr>
        <w:t>s</w:t>
      </w:r>
      <w:r w:rsidR="007B3B52" w:rsidRPr="008C7A31">
        <w:rPr>
          <w:sz w:val="20"/>
          <w:szCs w:val="20"/>
        </w:rPr>
        <w:t xml:space="preserve">pecyfikacji </w:t>
      </w:r>
      <w:r w:rsidR="00B40A43" w:rsidRPr="008C7A31">
        <w:rPr>
          <w:sz w:val="20"/>
          <w:szCs w:val="20"/>
        </w:rPr>
        <w:t>t</w:t>
      </w:r>
      <w:r w:rsidR="007B3B52" w:rsidRPr="008C7A31">
        <w:rPr>
          <w:sz w:val="20"/>
          <w:szCs w:val="20"/>
        </w:rPr>
        <w:t>echnicznej (S</w:t>
      </w:r>
      <w:r w:rsidRPr="008C7A31">
        <w:rPr>
          <w:sz w:val="20"/>
          <w:szCs w:val="20"/>
        </w:rPr>
        <w:t>S</w:t>
      </w:r>
      <w:r w:rsidR="007B3B52" w:rsidRPr="008C7A31">
        <w:rPr>
          <w:sz w:val="20"/>
          <w:szCs w:val="20"/>
        </w:rPr>
        <w:t>T) są wymagania dotyczące wykonania i</w:t>
      </w:r>
      <w:r w:rsidR="009E6B68">
        <w:rPr>
          <w:sz w:val="20"/>
          <w:szCs w:val="20"/>
        </w:rPr>
        <w:t> </w:t>
      </w:r>
      <w:r w:rsidR="007B3B52" w:rsidRPr="008C7A31">
        <w:rPr>
          <w:sz w:val="20"/>
          <w:szCs w:val="20"/>
        </w:rPr>
        <w:t xml:space="preserve">odbioru robót </w:t>
      </w:r>
      <w:r w:rsidRPr="008C7A31">
        <w:rPr>
          <w:sz w:val="20"/>
          <w:szCs w:val="20"/>
        </w:rPr>
        <w:t xml:space="preserve">związanych z </w:t>
      </w:r>
      <w:r w:rsidR="008D08AD" w:rsidRPr="008C7A31">
        <w:rPr>
          <w:sz w:val="20"/>
          <w:szCs w:val="20"/>
        </w:rPr>
        <w:t xml:space="preserve">wykonaniem </w:t>
      </w:r>
      <w:r w:rsidR="00A521EF">
        <w:rPr>
          <w:sz w:val="20"/>
          <w:szCs w:val="20"/>
        </w:rPr>
        <w:t>nawierzchni</w:t>
      </w:r>
      <w:r w:rsidR="008D08AD" w:rsidRPr="008C7A31">
        <w:rPr>
          <w:sz w:val="20"/>
          <w:szCs w:val="20"/>
        </w:rPr>
        <w:t xml:space="preserve"> </w:t>
      </w:r>
      <w:proofErr w:type="spellStart"/>
      <w:r w:rsidR="00F5763F">
        <w:rPr>
          <w:sz w:val="20"/>
          <w:szCs w:val="20"/>
        </w:rPr>
        <w:t>klińcowej</w:t>
      </w:r>
      <w:proofErr w:type="spellEnd"/>
      <w:r w:rsidR="008C7A31" w:rsidRPr="008C7A31">
        <w:rPr>
          <w:sz w:val="20"/>
          <w:szCs w:val="20"/>
        </w:rPr>
        <w:t xml:space="preserve"> dla zadania pn.:</w:t>
      </w:r>
      <w:r w:rsidR="00F5763F">
        <w:rPr>
          <w:sz w:val="20"/>
          <w:szCs w:val="20"/>
        </w:rPr>
        <w:t xml:space="preserve"> „Budowa ścieżki rowerowej na działkach nr 3119/1, 3120/1, 3121/1 na odcinku Dolna Grupa - Grupa</w:t>
      </w:r>
      <w:r w:rsidR="008C7A31" w:rsidRPr="008C7A31">
        <w:rPr>
          <w:sz w:val="20"/>
          <w:szCs w:val="20"/>
        </w:rPr>
        <w:t>”.</w:t>
      </w:r>
    </w:p>
    <w:p w:rsidR="007B3B52" w:rsidRPr="008C7A31" w:rsidRDefault="007B3B52" w:rsidP="002E650F">
      <w:pPr>
        <w:pStyle w:val="Nagwek2"/>
        <w:rPr>
          <w:sz w:val="20"/>
          <w:szCs w:val="20"/>
        </w:rPr>
      </w:pPr>
      <w:r w:rsidRPr="008C7A31">
        <w:rPr>
          <w:sz w:val="20"/>
          <w:szCs w:val="20"/>
        </w:rPr>
        <w:t>Zakres stosowania</w:t>
      </w:r>
      <w:r w:rsidRPr="008C7A31">
        <w:rPr>
          <w:spacing w:val="1"/>
          <w:sz w:val="20"/>
          <w:szCs w:val="20"/>
        </w:rPr>
        <w:t xml:space="preserve"> </w:t>
      </w:r>
      <w:r w:rsidRPr="008C7A31">
        <w:rPr>
          <w:sz w:val="20"/>
          <w:szCs w:val="20"/>
        </w:rPr>
        <w:t>S</w:t>
      </w:r>
      <w:r w:rsidR="002E650F" w:rsidRPr="008C7A31">
        <w:rPr>
          <w:sz w:val="20"/>
          <w:szCs w:val="20"/>
        </w:rPr>
        <w:t>S</w:t>
      </w:r>
      <w:r w:rsidRPr="008C7A31">
        <w:rPr>
          <w:sz w:val="20"/>
          <w:szCs w:val="20"/>
        </w:rPr>
        <w:t>T</w:t>
      </w:r>
    </w:p>
    <w:p w:rsidR="00505D13" w:rsidRPr="008C7A31" w:rsidRDefault="00505D13" w:rsidP="00505D13">
      <w:pPr>
        <w:rPr>
          <w:sz w:val="20"/>
          <w:szCs w:val="20"/>
        </w:rPr>
      </w:pPr>
      <w:r w:rsidRPr="008C7A31">
        <w:rPr>
          <w:sz w:val="20"/>
          <w:szCs w:val="20"/>
        </w:rPr>
        <w:tab/>
        <w:t>Szczegółowa specyfikacja techniczna stanowi dokument przetargowy i kontraktowy przy zlecaniu i realizacji robót w ramach zadania wymienionego w punkcie 1.1.</w:t>
      </w:r>
    </w:p>
    <w:p w:rsidR="007B3B52" w:rsidRPr="008C7A31" w:rsidRDefault="007B3B52" w:rsidP="002E650F">
      <w:pPr>
        <w:pStyle w:val="Nagwek2"/>
        <w:rPr>
          <w:sz w:val="20"/>
          <w:szCs w:val="20"/>
        </w:rPr>
      </w:pPr>
      <w:r w:rsidRPr="008C7A31">
        <w:rPr>
          <w:sz w:val="20"/>
          <w:szCs w:val="20"/>
        </w:rPr>
        <w:t>Zakres robót objętych</w:t>
      </w:r>
      <w:r w:rsidRPr="008C7A31">
        <w:rPr>
          <w:spacing w:val="-4"/>
          <w:sz w:val="20"/>
          <w:szCs w:val="20"/>
        </w:rPr>
        <w:t xml:space="preserve"> </w:t>
      </w:r>
      <w:r w:rsidR="002E650F" w:rsidRPr="008C7A31">
        <w:rPr>
          <w:spacing w:val="-4"/>
          <w:sz w:val="20"/>
          <w:szCs w:val="20"/>
        </w:rPr>
        <w:t>S</w:t>
      </w:r>
      <w:r w:rsidRPr="008C7A31">
        <w:rPr>
          <w:sz w:val="20"/>
          <w:szCs w:val="20"/>
        </w:rPr>
        <w:t>ST</w:t>
      </w:r>
    </w:p>
    <w:p w:rsidR="007B3B52" w:rsidRPr="008C7A31" w:rsidRDefault="002E650F" w:rsidP="007B3B52">
      <w:pPr>
        <w:rPr>
          <w:sz w:val="20"/>
          <w:szCs w:val="20"/>
        </w:rPr>
      </w:pPr>
      <w:r w:rsidRPr="008C7A31">
        <w:rPr>
          <w:sz w:val="20"/>
          <w:szCs w:val="20"/>
        </w:rPr>
        <w:tab/>
      </w:r>
      <w:r w:rsidR="007B3B52" w:rsidRPr="008C7A31">
        <w:rPr>
          <w:sz w:val="20"/>
          <w:szCs w:val="20"/>
        </w:rPr>
        <w:t xml:space="preserve">Ustalenia zawarte w niniejszej </w:t>
      </w:r>
      <w:r w:rsidR="00B40A43" w:rsidRPr="008C7A31">
        <w:rPr>
          <w:sz w:val="20"/>
          <w:szCs w:val="20"/>
        </w:rPr>
        <w:t>s</w:t>
      </w:r>
      <w:r w:rsidRPr="008C7A31">
        <w:rPr>
          <w:sz w:val="20"/>
          <w:szCs w:val="20"/>
        </w:rPr>
        <w:t>pecyfikacji</w:t>
      </w:r>
      <w:r w:rsidR="007B3B52" w:rsidRPr="008C7A31">
        <w:rPr>
          <w:sz w:val="20"/>
          <w:szCs w:val="20"/>
        </w:rPr>
        <w:t xml:space="preserve"> dotyczą </w:t>
      </w:r>
      <w:r w:rsidR="00DE0724" w:rsidRPr="008C7A31">
        <w:rPr>
          <w:sz w:val="20"/>
          <w:szCs w:val="20"/>
        </w:rPr>
        <w:t>zasad prowadzenia</w:t>
      </w:r>
      <w:r w:rsidR="008C7A31">
        <w:rPr>
          <w:sz w:val="20"/>
          <w:szCs w:val="20"/>
        </w:rPr>
        <w:t xml:space="preserve"> i odbioru robót</w:t>
      </w:r>
      <w:r w:rsidR="00DE0724" w:rsidRPr="008C7A31">
        <w:rPr>
          <w:sz w:val="20"/>
          <w:szCs w:val="20"/>
        </w:rPr>
        <w:t xml:space="preserve"> związanych z</w:t>
      </w:r>
      <w:r w:rsidR="008C7A31">
        <w:rPr>
          <w:sz w:val="20"/>
          <w:szCs w:val="20"/>
        </w:rPr>
        <w:t> </w:t>
      </w:r>
      <w:r w:rsidR="00DE0724" w:rsidRPr="008C7A31">
        <w:rPr>
          <w:sz w:val="20"/>
          <w:szCs w:val="20"/>
        </w:rPr>
        <w:t xml:space="preserve">wykonaniem </w:t>
      </w:r>
      <w:r w:rsidR="00A521EF">
        <w:rPr>
          <w:sz w:val="20"/>
          <w:szCs w:val="20"/>
        </w:rPr>
        <w:t>nawierzchni z kruszywa łamanego</w:t>
      </w:r>
      <w:r w:rsidR="00DE0724" w:rsidRPr="008C7A31">
        <w:rPr>
          <w:sz w:val="20"/>
          <w:szCs w:val="20"/>
        </w:rPr>
        <w:t xml:space="preserve">, </w:t>
      </w:r>
      <w:r w:rsidRPr="008C7A31">
        <w:rPr>
          <w:sz w:val="20"/>
          <w:szCs w:val="20"/>
        </w:rPr>
        <w:t>i obejmują:</w:t>
      </w:r>
    </w:p>
    <w:p w:rsidR="003C4407" w:rsidRPr="00A521EF" w:rsidRDefault="00DE0724" w:rsidP="00A521EF">
      <w:pPr>
        <w:pStyle w:val="Akapitzlist"/>
        <w:numPr>
          <w:ilvl w:val="0"/>
          <w:numId w:val="17"/>
        </w:numPr>
        <w:rPr>
          <w:sz w:val="20"/>
          <w:szCs w:val="20"/>
        </w:rPr>
      </w:pPr>
      <w:proofErr w:type="gramStart"/>
      <w:r w:rsidRPr="008C7A31">
        <w:rPr>
          <w:sz w:val="20"/>
          <w:szCs w:val="20"/>
        </w:rPr>
        <w:t>wykonanie</w:t>
      </w:r>
      <w:proofErr w:type="gramEnd"/>
      <w:r w:rsidRPr="008C7A31">
        <w:rPr>
          <w:sz w:val="20"/>
          <w:szCs w:val="20"/>
        </w:rPr>
        <w:t xml:space="preserve"> </w:t>
      </w:r>
      <w:r w:rsidR="00A521EF">
        <w:rPr>
          <w:sz w:val="20"/>
          <w:szCs w:val="20"/>
        </w:rPr>
        <w:t xml:space="preserve">nawierzchni </w:t>
      </w:r>
      <w:r w:rsidR="00F5763F">
        <w:rPr>
          <w:sz w:val="20"/>
          <w:szCs w:val="20"/>
        </w:rPr>
        <w:t>ścieżki rowerowej z klińca, frakcji 0-5, o gr. 10 cm</w:t>
      </w:r>
      <w:r w:rsidR="00503421" w:rsidRPr="00A521EF">
        <w:rPr>
          <w:sz w:val="20"/>
          <w:szCs w:val="20"/>
        </w:rPr>
        <w:t>.</w:t>
      </w:r>
    </w:p>
    <w:p w:rsidR="00272089" w:rsidRPr="00503421" w:rsidRDefault="00272089" w:rsidP="00DE0724">
      <w:pPr>
        <w:pStyle w:val="Nagwek2"/>
        <w:rPr>
          <w:sz w:val="20"/>
          <w:szCs w:val="20"/>
        </w:rPr>
      </w:pPr>
      <w:r w:rsidRPr="00503421">
        <w:rPr>
          <w:sz w:val="20"/>
          <w:szCs w:val="20"/>
        </w:rPr>
        <w:t>Określenia podstawowe</w:t>
      </w:r>
    </w:p>
    <w:p w:rsidR="00272089" w:rsidRDefault="00272089" w:rsidP="00DE0724">
      <w:pPr>
        <w:pStyle w:val="Nagwek3"/>
        <w:rPr>
          <w:sz w:val="20"/>
          <w:szCs w:val="20"/>
        </w:rPr>
      </w:pPr>
      <w:r w:rsidRPr="00503421">
        <w:rPr>
          <w:b/>
          <w:sz w:val="20"/>
          <w:szCs w:val="20"/>
        </w:rPr>
        <w:t>Stabilizacja mechaniczna</w:t>
      </w:r>
      <w:r w:rsidRPr="00503421">
        <w:rPr>
          <w:sz w:val="20"/>
          <w:szCs w:val="20"/>
        </w:rPr>
        <w:t xml:space="preserve"> </w:t>
      </w:r>
      <w:r w:rsidR="00CF2DD6" w:rsidRPr="00503421">
        <w:rPr>
          <w:sz w:val="20"/>
          <w:szCs w:val="20"/>
        </w:rPr>
        <w:t>–</w:t>
      </w:r>
      <w:r w:rsidRPr="00503421">
        <w:rPr>
          <w:sz w:val="20"/>
          <w:szCs w:val="20"/>
        </w:rPr>
        <w:t xml:space="preserve"> proces technologiczny, polegając</w:t>
      </w:r>
      <w:r w:rsidR="00503421">
        <w:rPr>
          <w:sz w:val="20"/>
          <w:szCs w:val="20"/>
        </w:rPr>
        <w:t>y na odpowiednim zagęszczeniu w </w:t>
      </w:r>
      <w:r w:rsidRPr="00503421">
        <w:rPr>
          <w:sz w:val="20"/>
          <w:szCs w:val="20"/>
        </w:rPr>
        <w:t>optymalnej wilgotności kruszywa o właściwie dobranym uziarnieniu.</w:t>
      </w:r>
    </w:p>
    <w:p w:rsidR="00503421" w:rsidRPr="00503421" w:rsidRDefault="00503421" w:rsidP="00503421">
      <w:pPr>
        <w:rPr>
          <w:sz w:val="2"/>
          <w:lang w:eastAsia="pl-PL"/>
        </w:rPr>
      </w:pPr>
    </w:p>
    <w:p w:rsidR="00272089" w:rsidRPr="00503421" w:rsidRDefault="00272089" w:rsidP="00DE0724">
      <w:pPr>
        <w:pStyle w:val="Nagwek3"/>
        <w:rPr>
          <w:sz w:val="20"/>
          <w:szCs w:val="20"/>
        </w:rPr>
      </w:pPr>
      <w:r w:rsidRPr="00503421">
        <w:rPr>
          <w:sz w:val="20"/>
          <w:szCs w:val="20"/>
        </w:rPr>
        <w:t>Pozostałe</w:t>
      </w:r>
      <w:r w:rsidRPr="00503421">
        <w:rPr>
          <w:b/>
          <w:sz w:val="20"/>
          <w:szCs w:val="20"/>
        </w:rPr>
        <w:t xml:space="preserve"> </w:t>
      </w:r>
      <w:r w:rsidRPr="00503421">
        <w:rPr>
          <w:sz w:val="20"/>
          <w:szCs w:val="20"/>
        </w:rPr>
        <w:t>określenia podstawowe są zgodne z obowiązującymi,</w:t>
      </w:r>
      <w:r w:rsidR="00685153" w:rsidRPr="00503421">
        <w:rPr>
          <w:sz w:val="20"/>
          <w:szCs w:val="20"/>
        </w:rPr>
        <w:t xml:space="preserve"> odpowiednimi polskimi no</w:t>
      </w:r>
      <w:r w:rsidR="00503421">
        <w:rPr>
          <w:sz w:val="20"/>
          <w:szCs w:val="20"/>
        </w:rPr>
        <w:t xml:space="preserve">rmami i z definicjami podanymi w </w:t>
      </w:r>
      <w:r w:rsidR="00685153" w:rsidRPr="00503421">
        <w:rPr>
          <w:sz w:val="20"/>
          <w:szCs w:val="20"/>
        </w:rPr>
        <w:t>ST D-M-00.00.00 „Wymagania ogólne” pkt. 1.4.</w:t>
      </w:r>
    </w:p>
    <w:p w:rsidR="00272089" w:rsidRPr="00503421" w:rsidRDefault="00272089" w:rsidP="00DE0724">
      <w:pPr>
        <w:pStyle w:val="Nagwek2"/>
        <w:rPr>
          <w:sz w:val="20"/>
          <w:szCs w:val="20"/>
        </w:rPr>
      </w:pPr>
      <w:r w:rsidRPr="00503421">
        <w:rPr>
          <w:sz w:val="20"/>
          <w:szCs w:val="20"/>
        </w:rPr>
        <w:t>Ogólne wymagania dotyczące robót</w:t>
      </w:r>
    </w:p>
    <w:p w:rsidR="00CF2DD6" w:rsidRPr="00503421" w:rsidRDefault="00CF2DD6" w:rsidP="00D82087">
      <w:pPr>
        <w:spacing w:before="60"/>
        <w:rPr>
          <w:sz w:val="20"/>
          <w:szCs w:val="20"/>
        </w:rPr>
      </w:pPr>
      <w:r w:rsidRPr="00503421">
        <w:rPr>
          <w:sz w:val="20"/>
          <w:szCs w:val="20"/>
        </w:rPr>
        <w:tab/>
      </w:r>
      <w:r w:rsidR="00272089" w:rsidRPr="00503421">
        <w:rPr>
          <w:sz w:val="20"/>
          <w:szCs w:val="20"/>
        </w:rPr>
        <w:t>Ogólne wyma</w:t>
      </w:r>
      <w:r w:rsidR="00503421">
        <w:rPr>
          <w:sz w:val="20"/>
          <w:szCs w:val="20"/>
        </w:rPr>
        <w:t xml:space="preserve">gania dotyczące robót podano w </w:t>
      </w:r>
      <w:r w:rsidR="00272089" w:rsidRPr="00503421">
        <w:rPr>
          <w:sz w:val="20"/>
          <w:szCs w:val="20"/>
        </w:rPr>
        <w:t>ST D</w:t>
      </w:r>
      <w:r w:rsidRPr="00503421">
        <w:rPr>
          <w:sz w:val="20"/>
          <w:szCs w:val="20"/>
        </w:rPr>
        <w:t>-</w:t>
      </w:r>
      <w:r w:rsidR="00272089" w:rsidRPr="00503421">
        <w:rPr>
          <w:sz w:val="20"/>
          <w:szCs w:val="20"/>
        </w:rPr>
        <w:t>M</w:t>
      </w:r>
      <w:r w:rsidRPr="00503421">
        <w:rPr>
          <w:sz w:val="20"/>
          <w:szCs w:val="20"/>
        </w:rPr>
        <w:t>-</w:t>
      </w:r>
      <w:r w:rsidR="00272089" w:rsidRPr="00503421">
        <w:rPr>
          <w:sz w:val="20"/>
          <w:szCs w:val="20"/>
        </w:rPr>
        <w:t>00.00.00 „Wymagania ogólne”</w:t>
      </w:r>
      <w:r w:rsidRPr="00503421">
        <w:rPr>
          <w:sz w:val="20"/>
          <w:szCs w:val="20"/>
        </w:rPr>
        <w:t xml:space="preserve"> pkt</w:t>
      </w:r>
      <w:r w:rsidR="00272089" w:rsidRPr="00503421">
        <w:rPr>
          <w:sz w:val="20"/>
          <w:szCs w:val="20"/>
        </w:rPr>
        <w:t>.</w:t>
      </w:r>
      <w:r w:rsidRPr="00503421">
        <w:rPr>
          <w:sz w:val="20"/>
          <w:szCs w:val="20"/>
        </w:rPr>
        <w:t xml:space="preserve"> 1.5.</w:t>
      </w:r>
    </w:p>
    <w:p w:rsidR="00272089" w:rsidRPr="00503421" w:rsidRDefault="00CF2DD6" w:rsidP="00D82087">
      <w:pPr>
        <w:spacing w:before="60"/>
        <w:rPr>
          <w:sz w:val="20"/>
          <w:szCs w:val="20"/>
        </w:rPr>
      </w:pPr>
      <w:r w:rsidRPr="00503421">
        <w:rPr>
          <w:sz w:val="20"/>
          <w:szCs w:val="20"/>
        </w:rPr>
        <w:tab/>
        <w:t xml:space="preserve">Wykonawca robót jest </w:t>
      </w:r>
      <w:proofErr w:type="gramStart"/>
      <w:r w:rsidRPr="00503421">
        <w:rPr>
          <w:sz w:val="20"/>
          <w:szCs w:val="20"/>
        </w:rPr>
        <w:t>odpowiedzialny za jakość</w:t>
      </w:r>
      <w:proofErr w:type="gramEnd"/>
      <w:r w:rsidRPr="00503421">
        <w:rPr>
          <w:sz w:val="20"/>
          <w:szCs w:val="20"/>
        </w:rPr>
        <w:t xml:space="preserve"> ich wykonania oraz za zgodność z Dokumentacją Projektową, SST i poleceniami Inżyniera.</w:t>
      </w:r>
    </w:p>
    <w:p w:rsidR="00272089" w:rsidRPr="008A420C" w:rsidRDefault="00272089" w:rsidP="00CF2DD6">
      <w:pPr>
        <w:pStyle w:val="Nagwek1"/>
        <w:rPr>
          <w:i/>
        </w:rPr>
      </w:pPr>
      <w:r w:rsidRPr="008A420C">
        <w:t>MATERIAŁY</w:t>
      </w:r>
    </w:p>
    <w:p w:rsidR="00272089" w:rsidRPr="00503421" w:rsidRDefault="00272089" w:rsidP="00CF2DD6">
      <w:pPr>
        <w:pStyle w:val="Nagwek2"/>
        <w:rPr>
          <w:sz w:val="20"/>
          <w:szCs w:val="20"/>
        </w:rPr>
      </w:pPr>
      <w:r w:rsidRPr="00503421">
        <w:rPr>
          <w:sz w:val="20"/>
          <w:szCs w:val="20"/>
        </w:rPr>
        <w:t>Ogólne wymagania dotyczące materiałów</w:t>
      </w:r>
    </w:p>
    <w:p w:rsidR="00272089" w:rsidRPr="00503421" w:rsidRDefault="00CF2DD6" w:rsidP="00272089">
      <w:pPr>
        <w:rPr>
          <w:b/>
          <w:sz w:val="20"/>
          <w:szCs w:val="20"/>
        </w:rPr>
      </w:pPr>
      <w:r w:rsidRPr="00503421">
        <w:rPr>
          <w:sz w:val="20"/>
          <w:szCs w:val="20"/>
        </w:rPr>
        <w:tab/>
      </w:r>
      <w:r w:rsidR="00272089" w:rsidRPr="00503421">
        <w:rPr>
          <w:sz w:val="20"/>
          <w:szCs w:val="20"/>
        </w:rPr>
        <w:t>Ogólne wymagania dotyczące materiałów, ich pozyskiwania i składowania, podano</w:t>
      </w:r>
      <w:r w:rsidR="009B62DF">
        <w:rPr>
          <w:sz w:val="20"/>
          <w:szCs w:val="20"/>
        </w:rPr>
        <w:t xml:space="preserve"> </w:t>
      </w:r>
      <w:r w:rsidR="00503421" w:rsidRPr="00503421">
        <w:rPr>
          <w:sz w:val="20"/>
          <w:szCs w:val="20"/>
        </w:rPr>
        <w:t xml:space="preserve">w </w:t>
      </w:r>
      <w:r w:rsidR="00272089" w:rsidRPr="00503421">
        <w:rPr>
          <w:sz w:val="20"/>
          <w:szCs w:val="20"/>
        </w:rPr>
        <w:t>ST D</w:t>
      </w:r>
      <w:r w:rsidRPr="00503421">
        <w:rPr>
          <w:sz w:val="20"/>
          <w:szCs w:val="20"/>
        </w:rPr>
        <w:t>-</w:t>
      </w:r>
      <w:r w:rsidR="00272089" w:rsidRPr="00503421">
        <w:rPr>
          <w:sz w:val="20"/>
          <w:szCs w:val="20"/>
        </w:rPr>
        <w:t>M</w:t>
      </w:r>
      <w:r w:rsidRPr="00503421">
        <w:rPr>
          <w:sz w:val="20"/>
          <w:szCs w:val="20"/>
        </w:rPr>
        <w:t>-</w:t>
      </w:r>
      <w:r w:rsidR="00272089" w:rsidRPr="00503421">
        <w:rPr>
          <w:sz w:val="20"/>
          <w:szCs w:val="20"/>
        </w:rPr>
        <w:t>00.00.00.</w:t>
      </w:r>
    </w:p>
    <w:p w:rsidR="00272089" w:rsidRPr="00503421" w:rsidRDefault="00272089" w:rsidP="00CF2DD6">
      <w:pPr>
        <w:pStyle w:val="Nagwek2"/>
        <w:rPr>
          <w:sz w:val="20"/>
          <w:szCs w:val="20"/>
        </w:rPr>
      </w:pPr>
      <w:r w:rsidRPr="00503421">
        <w:rPr>
          <w:sz w:val="20"/>
          <w:szCs w:val="20"/>
        </w:rPr>
        <w:t>Rodzaje materiałów</w:t>
      </w:r>
    </w:p>
    <w:p w:rsidR="00E8290C" w:rsidRPr="00503421" w:rsidRDefault="00CF2DD6" w:rsidP="00D82087">
      <w:pPr>
        <w:spacing w:before="60"/>
        <w:rPr>
          <w:sz w:val="20"/>
          <w:szCs w:val="20"/>
        </w:rPr>
      </w:pPr>
      <w:r w:rsidRPr="00503421">
        <w:rPr>
          <w:sz w:val="20"/>
          <w:szCs w:val="20"/>
        </w:rPr>
        <w:tab/>
      </w:r>
      <w:r w:rsidR="00E8290C" w:rsidRPr="00503421">
        <w:rPr>
          <w:sz w:val="20"/>
          <w:szCs w:val="20"/>
        </w:rPr>
        <w:t xml:space="preserve">Materiałem do wykonania </w:t>
      </w:r>
      <w:r w:rsidR="00A521EF">
        <w:rPr>
          <w:sz w:val="20"/>
          <w:szCs w:val="20"/>
        </w:rPr>
        <w:t>nawierzchni z kruszywa łamanego stabilizowanego mechanicznie</w:t>
      </w:r>
      <w:r w:rsidR="00E8290C" w:rsidRPr="00503421">
        <w:rPr>
          <w:sz w:val="20"/>
          <w:szCs w:val="20"/>
        </w:rPr>
        <w:t xml:space="preserve"> powinno być kruszywo łamane, uzyskane w</w:t>
      </w:r>
      <w:r w:rsidR="009B62DF">
        <w:rPr>
          <w:sz w:val="20"/>
          <w:szCs w:val="20"/>
        </w:rPr>
        <w:t> </w:t>
      </w:r>
      <w:r w:rsidR="00E8290C" w:rsidRPr="00503421">
        <w:rPr>
          <w:sz w:val="20"/>
          <w:szCs w:val="20"/>
        </w:rPr>
        <w:t xml:space="preserve">wyniku </w:t>
      </w:r>
      <w:proofErr w:type="spellStart"/>
      <w:r w:rsidR="00E8290C" w:rsidRPr="00503421">
        <w:rPr>
          <w:sz w:val="20"/>
          <w:szCs w:val="20"/>
        </w:rPr>
        <w:t>przekruszenia</w:t>
      </w:r>
      <w:proofErr w:type="spellEnd"/>
      <w:r w:rsidR="00E8290C" w:rsidRPr="00503421">
        <w:rPr>
          <w:sz w:val="20"/>
          <w:szCs w:val="20"/>
        </w:rPr>
        <w:t xml:space="preserve"> surowca skalnego</w:t>
      </w:r>
      <w:r w:rsidR="00A521EF">
        <w:rPr>
          <w:sz w:val="20"/>
          <w:szCs w:val="20"/>
        </w:rPr>
        <w:t xml:space="preserve"> lub kamienie narzutowych i otoczaków albo ziaren żwiru większych od 8 mm</w:t>
      </w:r>
      <w:r w:rsidR="00E8290C" w:rsidRPr="00503421">
        <w:rPr>
          <w:sz w:val="20"/>
          <w:szCs w:val="20"/>
        </w:rPr>
        <w:t>.</w:t>
      </w:r>
    </w:p>
    <w:p w:rsidR="00E8290C" w:rsidRPr="00503421" w:rsidRDefault="00E8290C" w:rsidP="00D82087">
      <w:pPr>
        <w:spacing w:before="60"/>
        <w:rPr>
          <w:sz w:val="20"/>
          <w:szCs w:val="20"/>
        </w:rPr>
      </w:pPr>
      <w:r w:rsidRPr="00503421">
        <w:rPr>
          <w:sz w:val="20"/>
          <w:szCs w:val="20"/>
        </w:rPr>
        <w:tab/>
        <w:t>Kruszywo powinno być jednorodne bez zanieczyszczeń obcych i bez domieszek gliny.</w:t>
      </w:r>
    </w:p>
    <w:p w:rsidR="00E8290C" w:rsidRPr="00503421" w:rsidRDefault="00E8290C" w:rsidP="00D82087">
      <w:pPr>
        <w:spacing w:before="60"/>
        <w:rPr>
          <w:sz w:val="20"/>
          <w:szCs w:val="20"/>
        </w:rPr>
      </w:pPr>
      <w:r w:rsidRPr="00503421">
        <w:rPr>
          <w:sz w:val="20"/>
          <w:szCs w:val="20"/>
        </w:rPr>
        <w:tab/>
        <w:t>Woda do zraszania powinna odpowiadać wymaganiom PN-EN 1008</w:t>
      </w:r>
      <w:r w:rsidR="009B62DF">
        <w:rPr>
          <w:sz w:val="20"/>
          <w:szCs w:val="20"/>
        </w:rPr>
        <w:t xml:space="preserve"> [23]</w:t>
      </w:r>
      <w:r w:rsidRPr="00503421">
        <w:rPr>
          <w:sz w:val="20"/>
          <w:szCs w:val="20"/>
        </w:rPr>
        <w:t xml:space="preserve"> nie zawierająca składników wpływających szkodliwie na mieszankę kruszywa, ale umożliwiającą właściwe zagęszczanie mieszanki.</w:t>
      </w:r>
    </w:p>
    <w:p w:rsidR="00272089" w:rsidRPr="00503421" w:rsidRDefault="00E8290C" w:rsidP="00D82087">
      <w:pPr>
        <w:spacing w:before="60"/>
        <w:rPr>
          <w:sz w:val="20"/>
          <w:szCs w:val="20"/>
        </w:rPr>
      </w:pPr>
      <w:r w:rsidRPr="00503421">
        <w:rPr>
          <w:sz w:val="20"/>
          <w:szCs w:val="20"/>
        </w:rPr>
        <w:tab/>
        <w:t>Jeżeli badania CBR nie da się wykonać zgodnie z normą PN-EN 13286-47</w:t>
      </w:r>
      <w:r w:rsidR="009B62DF">
        <w:rPr>
          <w:sz w:val="20"/>
          <w:szCs w:val="20"/>
        </w:rPr>
        <w:t xml:space="preserve"> [20]</w:t>
      </w:r>
      <w:r w:rsidRPr="00503421">
        <w:rPr>
          <w:sz w:val="20"/>
          <w:szCs w:val="20"/>
        </w:rPr>
        <w:t xml:space="preserve"> w </w:t>
      </w:r>
      <w:proofErr w:type="gramStart"/>
      <w:r w:rsidRPr="00503421">
        <w:rPr>
          <w:sz w:val="20"/>
          <w:szCs w:val="20"/>
        </w:rPr>
        <w:t>przypadku kiedy</w:t>
      </w:r>
      <w:proofErr w:type="gramEnd"/>
      <w:r w:rsidRPr="00503421">
        <w:rPr>
          <w:sz w:val="20"/>
          <w:szCs w:val="20"/>
        </w:rPr>
        <w:t xml:space="preserve"> masa ziaren powyżej 20 mm przekracza 25% masy całej mieszanki Wykonawca robót zobowiązany jest powiadomić projektanta i Inżyniera.</w:t>
      </w:r>
    </w:p>
    <w:p w:rsidR="00272089" w:rsidRPr="00503421" w:rsidRDefault="00272089" w:rsidP="00266E7D">
      <w:pPr>
        <w:pStyle w:val="Nagwek2"/>
        <w:spacing w:before="120"/>
        <w:ind w:left="715" w:hanging="505"/>
        <w:rPr>
          <w:sz w:val="20"/>
          <w:szCs w:val="20"/>
        </w:rPr>
      </w:pPr>
      <w:r w:rsidRPr="00503421">
        <w:rPr>
          <w:sz w:val="20"/>
          <w:szCs w:val="20"/>
        </w:rPr>
        <w:lastRenderedPageBreak/>
        <w:t>Wymagania dla materiałów</w:t>
      </w:r>
    </w:p>
    <w:p w:rsidR="00272089" w:rsidRDefault="00A521EF" w:rsidP="002A09F3">
      <w:pPr>
        <w:pStyle w:val="Nagwek3"/>
        <w:rPr>
          <w:sz w:val="20"/>
          <w:szCs w:val="20"/>
        </w:rPr>
      </w:pPr>
      <w:r>
        <w:rPr>
          <w:sz w:val="20"/>
          <w:szCs w:val="20"/>
        </w:rPr>
        <w:t>Uziarnienie kruszywa</w:t>
      </w:r>
    </w:p>
    <w:p w:rsidR="00A521EF" w:rsidRPr="00A521EF" w:rsidRDefault="00A521EF" w:rsidP="00A521EF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A521EF">
        <w:rPr>
          <w:sz w:val="20"/>
          <w:szCs w:val="20"/>
        </w:rPr>
        <w:t>Krzywa uziarnienia kruszywa, określona według PN-B-06714-15</w:t>
      </w:r>
      <w:r>
        <w:rPr>
          <w:sz w:val="20"/>
          <w:szCs w:val="20"/>
        </w:rPr>
        <w:t xml:space="preserve"> [</w:t>
      </w:r>
      <w:r w:rsidR="001F6236">
        <w:rPr>
          <w:sz w:val="20"/>
          <w:szCs w:val="20"/>
        </w:rPr>
        <w:t>26</w:t>
      </w:r>
      <w:r>
        <w:rPr>
          <w:sz w:val="20"/>
          <w:szCs w:val="20"/>
        </w:rPr>
        <w:t>]</w:t>
      </w:r>
      <w:r w:rsidRPr="00A521EF">
        <w:rPr>
          <w:sz w:val="20"/>
          <w:szCs w:val="20"/>
        </w:rPr>
        <w:t xml:space="preserve"> powinna le</w:t>
      </w:r>
      <w:r>
        <w:rPr>
          <w:sz w:val="20"/>
          <w:szCs w:val="20"/>
        </w:rPr>
        <w:t>ż</w:t>
      </w:r>
      <w:r w:rsidRPr="00A521EF">
        <w:rPr>
          <w:sz w:val="20"/>
          <w:szCs w:val="20"/>
        </w:rPr>
        <w:t xml:space="preserve">eć między krzywymi granicznymi pól dobrego uziarnienia podanymi na </w:t>
      </w:r>
      <w:r>
        <w:rPr>
          <w:sz w:val="20"/>
          <w:szCs w:val="20"/>
        </w:rPr>
        <w:t>Rys.</w:t>
      </w:r>
      <w:r w:rsidRPr="00A521EF">
        <w:rPr>
          <w:sz w:val="20"/>
          <w:szCs w:val="20"/>
        </w:rPr>
        <w:t>1.</w:t>
      </w:r>
    </w:p>
    <w:p w:rsidR="00A521EF" w:rsidRPr="00A521EF" w:rsidRDefault="00A521EF" w:rsidP="00A521EF">
      <w:pPr>
        <w:rPr>
          <w:sz w:val="20"/>
          <w:szCs w:val="20"/>
          <w:lang w:eastAsia="pl-PL"/>
        </w:rPr>
      </w:pPr>
      <w:r>
        <w:rPr>
          <w:sz w:val="20"/>
          <w:szCs w:val="20"/>
        </w:rPr>
        <w:tab/>
      </w:r>
      <w:r w:rsidRPr="00A521EF">
        <w:rPr>
          <w:sz w:val="20"/>
          <w:szCs w:val="20"/>
        </w:rPr>
        <w:t>Krzywa uziarnienia kruszywa powinna być ciągła i nie mo</w:t>
      </w:r>
      <w:r>
        <w:rPr>
          <w:sz w:val="20"/>
          <w:szCs w:val="20"/>
        </w:rPr>
        <w:t>ż</w:t>
      </w:r>
      <w:r w:rsidRPr="00A521EF">
        <w:rPr>
          <w:sz w:val="20"/>
          <w:szCs w:val="20"/>
        </w:rPr>
        <w:t>e przebiegać od dolnej krzywej granicznej uziarnienia do górnej krzywej granicznej uziarnienia na sąsiednich sitach. Wymiar największego ziarna kruszywa nie mo</w:t>
      </w:r>
      <w:r>
        <w:rPr>
          <w:sz w:val="20"/>
          <w:szCs w:val="20"/>
        </w:rPr>
        <w:t>ż</w:t>
      </w:r>
      <w:r w:rsidRPr="00A521EF">
        <w:rPr>
          <w:sz w:val="20"/>
          <w:szCs w:val="20"/>
        </w:rPr>
        <w:t>e przekraczać 2/3 grubości warstwy układanej jednorazowo</w:t>
      </w:r>
    </w:p>
    <w:p w:rsidR="00C577B0" w:rsidRPr="00A521EF" w:rsidRDefault="00A521EF" w:rsidP="00A521EF">
      <w:pPr>
        <w:spacing w:line="120" w:lineRule="auto"/>
        <w:jc w:val="center"/>
        <w:rPr>
          <w:sz w:val="2"/>
        </w:rPr>
      </w:pPr>
      <w:r>
        <w:rPr>
          <w:noProof/>
          <w:lang w:eastAsia="pl-PL"/>
        </w:rPr>
        <w:drawing>
          <wp:inline distT="0" distB="0" distL="0" distR="0">
            <wp:extent cx="4716780" cy="156083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1560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21EF" w:rsidRDefault="00A521EF" w:rsidP="00C577B0">
      <w:pPr>
        <w:jc w:val="center"/>
      </w:pPr>
      <w:r>
        <w:rPr>
          <w:noProof/>
          <w:lang w:eastAsia="pl-PL"/>
        </w:rPr>
        <w:drawing>
          <wp:inline distT="0" distB="0" distL="0" distR="0">
            <wp:extent cx="4716780" cy="1560830"/>
            <wp:effectExtent l="0" t="0" r="7620" b="0"/>
            <wp:docPr id="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1560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77B0" w:rsidRPr="00C577B0" w:rsidRDefault="00C577B0" w:rsidP="00C577B0">
      <w:pPr>
        <w:spacing w:after="120"/>
        <w:jc w:val="center"/>
        <w:rPr>
          <w:sz w:val="20"/>
          <w:szCs w:val="20"/>
        </w:rPr>
      </w:pPr>
      <w:r w:rsidRPr="00C577B0">
        <w:rPr>
          <w:sz w:val="20"/>
          <w:szCs w:val="20"/>
        </w:rPr>
        <w:t xml:space="preserve">Rys.1. </w:t>
      </w:r>
      <w:r w:rsidR="00A521EF" w:rsidRPr="00A521EF">
        <w:rPr>
          <w:sz w:val="20"/>
        </w:rPr>
        <w:t>Pole dobrego uziarnienia kruszyw przeznaczonych na nawierzchnie wykonywane metodą stabilizacji mechanicznej (1-2</w:t>
      </w:r>
      <w:r w:rsidR="00A521EF">
        <w:rPr>
          <w:sz w:val="20"/>
          <w:szCs w:val="20"/>
        </w:rPr>
        <w:t>)</w:t>
      </w:r>
    </w:p>
    <w:p w:rsidR="00272089" w:rsidRPr="009B62DF" w:rsidRDefault="00A521EF" w:rsidP="00266E7D">
      <w:pPr>
        <w:pStyle w:val="Nagwek3"/>
        <w:spacing w:before="120"/>
        <w:rPr>
          <w:b/>
          <w:iCs/>
          <w:sz w:val="20"/>
          <w:szCs w:val="20"/>
        </w:rPr>
      </w:pPr>
      <w:r>
        <w:rPr>
          <w:sz w:val="20"/>
          <w:szCs w:val="20"/>
        </w:rPr>
        <w:t>Właściwości kruszywa</w:t>
      </w:r>
    </w:p>
    <w:p w:rsidR="00272089" w:rsidRPr="009B62DF" w:rsidRDefault="002C0C2F" w:rsidP="00272089">
      <w:pPr>
        <w:rPr>
          <w:sz w:val="20"/>
          <w:szCs w:val="20"/>
        </w:rPr>
      </w:pPr>
      <w:r w:rsidRPr="009B62DF">
        <w:rPr>
          <w:sz w:val="20"/>
          <w:szCs w:val="20"/>
        </w:rPr>
        <w:tab/>
      </w:r>
      <w:r w:rsidR="00A521EF">
        <w:rPr>
          <w:sz w:val="20"/>
          <w:szCs w:val="20"/>
        </w:rPr>
        <w:t>Kruszywo powinno spełniać wymagania określone w Tab.1.</w:t>
      </w:r>
    </w:p>
    <w:p w:rsidR="00272089" w:rsidRDefault="00272089" w:rsidP="002F2638">
      <w:pPr>
        <w:tabs>
          <w:tab w:val="left" w:pos="8080"/>
        </w:tabs>
        <w:spacing w:before="60"/>
        <w:jc w:val="center"/>
        <w:rPr>
          <w:sz w:val="20"/>
          <w:szCs w:val="20"/>
        </w:rPr>
      </w:pPr>
      <w:r w:rsidRPr="009B62DF">
        <w:rPr>
          <w:sz w:val="20"/>
          <w:szCs w:val="20"/>
        </w:rPr>
        <w:t>Tab</w:t>
      </w:r>
      <w:r w:rsidR="002C0C2F" w:rsidRPr="009B62DF">
        <w:rPr>
          <w:sz w:val="20"/>
          <w:szCs w:val="20"/>
        </w:rPr>
        <w:t>.</w:t>
      </w:r>
      <w:r w:rsidR="00423845">
        <w:rPr>
          <w:sz w:val="20"/>
          <w:szCs w:val="20"/>
        </w:rPr>
        <w:t>1</w:t>
      </w:r>
      <w:r w:rsidRPr="009B62DF">
        <w:rPr>
          <w:sz w:val="20"/>
          <w:szCs w:val="20"/>
        </w:rPr>
        <w:t xml:space="preserve">. Wymagania wobec </w:t>
      </w:r>
      <w:r w:rsidR="002F2638">
        <w:rPr>
          <w:sz w:val="20"/>
          <w:szCs w:val="20"/>
        </w:rPr>
        <w:t>kruszywa</w:t>
      </w:r>
      <w:r w:rsidR="007B7F08" w:rsidRPr="009B62DF">
        <w:rPr>
          <w:sz w:val="20"/>
          <w:szCs w:val="20"/>
        </w:rPr>
        <w:t xml:space="preserve"> do warstw </w:t>
      </w:r>
      <w:r w:rsidR="002F2638">
        <w:rPr>
          <w:sz w:val="20"/>
          <w:szCs w:val="20"/>
        </w:rPr>
        <w:t>nawierzchni</w:t>
      </w:r>
    </w:p>
    <w:tbl>
      <w:tblPr>
        <w:tblW w:w="95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80"/>
        <w:gridCol w:w="480"/>
        <w:gridCol w:w="60"/>
        <w:gridCol w:w="7293"/>
        <w:gridCol w:w="67"/>
        <w:gridCol w:w="1560"/>
      </w:tblGrid>
      <w:tr w:rsidR="00A521EF" w:rsidRPr="00A521EF" w:rsidTr="007F092B">
        <w:trPr>
          <w:trHeight w:val="451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Lp.</w:t>
            </w:r>
          </w:p>
        </w:tc>
        <w:tc>
          <w:tcPr>
            <w:tcW w:w="735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Właściwości badane według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Wymagania</w:t>
            </w:r>
          </w:p>
        </w:tc>
      </w:tr>
      <w:tr w:rsidR="00A521EF" w:rsidRPr="00A521EF" w:rsidTr="007F092B">
        <w:trPr>
          <w:trHeight w:val="298"/>
        </w:trPr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1</w:t>
            </w:r>
          </w:p>
        </w:tc>
        <w:tc>
          <w:tcPr>
            <w:tcW w:w="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 xml:space="preserve">Zawartość </w:t>
            </w:r>
            <w:proofErr w:type="spellStart"/>
            <w:r w:rsidRPr="00A521EF">
              <w:rPr>
                <w:sz w:val="20"/>
                <w:szCs w:val="20"/>
              </w:rPr>
              <w:t>ziarn</w:t>
            </w:r>
            <w:proofErr w:type="spellEnd"/>
            <w:r w:rsidRPr="00A521EF">
              <w:rPr>
                <w:sz w:val="20"/>
                <w:szCs w:val="20"/>
              </w:rPr>
              <w:t xml:space="preserve"> mniejszych ni</w:t>
            </w:r>
            <w:r>
              <w:rPr>
                <w:sz w:val="20"/>
                <w:szCs w:val="20"/>
              </w:rPr>
              <w:t>ż</w:t>
            </w:r>
            <w:r w:rsidRPr="00A521EF">
              <w:rPr>
                <w:sz w:val="20"/>
                <w:szCs w:val="20"/>
              </w:rPr>
              <w:t xml:space="preserve"> 0,075 mm, % (m/m) wg PN-B-06714-15</w:t>
            </w:r>
            <w:r w:rsidR="001F6236">
              <w:rPr>
                <w:sz w:val="20"/>
                <w:szCs w:val="20"/>
              </w:rPr>
              <w:t xml:space="preserve"> [26]</w:t>
            </w:r>
          </w:p>
        </w:tc>
        <w:tc>
          <w:tcPr>
            <w:tcW w:w="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  <w:proofErr w:type="gramStart"/>
            <w:r w:rsidRPr="00A521EF">
              <w:rPr>
                <w:sz w:val="20"/>
                <w:szCs w:val="20"/>
              </w:rPr>
              <w:t>od</w:t>
            </w:r>
            <w:proofErr w:type="gramEnd"/>
            <w:r w:rsidRPr="00A521EF">
              <w:rPr>
                <w:sz w:val="20"/>
                <w:szCs w:val="20"/>
              </w:rPr>
              <w:t xml:space="preserve"> 2 do 10</w:t>
            </w:r>
          </w:p>
        </w:tc>
      </w:tr>
      <w:tr w:rsidR="00A521EF" w:rsidRPr="00A521EF" w:rsidTr="007F092B">
        <w:trPr>
          <w:trHeight w:val="309"/>
        </w:trPr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2</w:t>
            </w: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7F092B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Zawartość nadziarna, % (m/m), nie więcej ni</w:t>
            </w:r>
            <w:r w:rsidR="007F092B">
              <w:rPr>
                <w:sz w:val="20"/>
                <w:szCs w:val="20"/>
              </w:rPr>
              <w:t>ż</w:t>
            </w:r>
            <w:r w:rsidRPr="00A521EF">
              <w:rPr>
                <w:sz w:val="20"/>
                <w:szCs w:val="20"/>
              </w:rPr>
              <w:t>: wg PN-B-06714-15</w:t>
            </w:r>
            <w:r w:rsidR="001F6236">
              <w:rPr>
                <w:sz w:val="20"/>
                <w:szCs w:val="20"/>
              </w:rPr>
              <w:t xml:space="preserve"> [26]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5</w:t>
            </w:r>
          </w:p>
        </w:tc>
      </w:tr>
      <w:tr w:rsidR="00A521EF" w:rsidRPr="00A521EF" w:rsidTr="007F092B">
        <w:trPr>
          <w:trHeight w:val="306"/>
        </w:trPr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3</w:t>
            </w: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7F092B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 xml:space="preserve">Zawartość </w:t>
            </w:r>
            <w:proofErr w:type="spellStart"/>
            <w:r w:rsidRPr="00A521EF">
              <w:rPr>
                <w:sz w:val="20"/>
                <w:szCs w:val="20"/>
              </w:rPr>
              <w:t>ziarn</w:t>
            </w:r>
            <w:proofErr w:type="spellEnd"/>
            <w:r w:rsidRPr="00A521EF">
              <w:rPr>
                <w:sz w:val="20"/>
                <w:szCs w:val="20"/>
              </w:rPr>
              <w:t xml:space="preserve"> nieforemnych, %(m/m), nie więcej ni</w:t>
            </w:r>
            <w:r w:rsidR="007F092B">
              <w:rPr>
                <w:sz w:val="20"/>
                <w:szCs w:val="20"/>
              </w:rPr>
              <w:t>ż</w:t>
            </w:r>
            <w:r w:rsidRPr="00A521EF">
              <w:rPr>
                <w:sz w:val="20"/>
                <w:szCs w:val="20"/>
              </w:rPr>
              <w:t>: wg PN-B-06714-</w:t>
            </w:r>
            <w:r w:rsidR="007F092B" w:rsidRPr="00A521EF">
              <w:rPr>
                <w:sz w:val="20"/>
                <w:szCs w:val="20"/>
              </w:rPr>
              <w:t>16</w:t>
            </w:r>
            <w:r w:rsidR="001F6236">
              <w:rPr>
                <w:sz w:val="20"/>
                <w:szCs w:val="20"/>
              </w:rPr>
              <w:t xml:space="preserve"> [27]</w:t>
            </w:r>
          </w:p>
        </w:tc>
        <w:tc>
          <w:tcPr>
            <w:tcW w:w="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EF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35</w:t>
            </w:r>
          </w:p>
        </w:tc>
      </w:tr>
      <w:tr w:rsidR="00A521EF" w:rsidRPr="00A521EF" w:rsidTr="007F092B">
        <w:trPr>
          <w:trHeight w:val="306"/>
        </w:trPr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4</w:t>
            </w: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7F092B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Zawartość zanieczyszczeń organicznych, %(m/m), nie więcej ni</w:t>
            </w:r>
            <w:r w:rsidR="007F092B">
              <w:rPr>
                <w:sz w:val="20"/>
                <w:szCs w:val="20"/>
              </w:rPr>
              <w:t>ż</w:t>
            </w:r>
            <w:r w:rsidRPr="00A521EF">
              <w:rPr>
                <w:sz w:val="20"/>
                <w:szCs w:val="20"/>
              </w:rPr>
              <w:t>: wg PN-</w:t>
            </w:r>
            <w:r w:rsidR="007F092B" w:rsidRPr="00A521EF">
              <w:rPr>
                <w:sz w:val="20"/>
                <w:szCs w:val="20"/>
              </w:rPr>
              <w:t>B-06714-16</w:t>
            </w:r>
            <w:r w:rsidR="001F6236">
              <w:rPr>
                <w:sz w:val="20"/>
                <w:szCs w:val="20"/>
              </w:rPr>
              <w:t xml:space="preserve"> [27]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EF" w:rsidRPr="00A521EF" w:rsidRDefault="00A521EF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1</w:t>
            </w:r>
          </w:p>
        </w:tc>
      </w:tr>
      <w:tr w:rsidR="007F092B" w:rsidRPr="00A521EF" w:rsidTr="007F092B">
        <w:trPr>
          <w:trHeight w:val="306"/>
        </w:trPr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5</w:t>
            </w: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Wskaźnik piaskowy po pięciokrotnym zagęszczeniu metodą I lub II wg PN-B-04481</w:t>
            </w:r>
            <w:r w:rsidR="002F2638">
              <w:rPr>
                <w:sz w:val="20"/>
                <w:szCs w:val="20"/>
              </w:rPr>
              <w:t xml:space="preserve"> [4]</w:t>
            </w:r>
            <w:r w:rsidRPr="00A521EF">
              <w:rPr>
                <w:sz w:val="20"/>
                <w:szCs w:val="20"/>
              </w:rPr>
              <w:t>, %</w:t>
            </w:r>
          </w:p>
        </w:tc>
        <w:tc>
          <w:tcPr>
            <w:tcW w:w="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1F6236">
            <w:pPr>
              <w:rPr>
                <w:sz w:val="20"/>
                <w:szCs w:val="20"/>
              </w:rPr>
            </w:pPr>
            <w:proofErr w:type="gramStart"/>
            <w:r w:rsidRPr="00A521EF">
              <w:rPr>
                <w:sz w:val="20"/>
                <w:szCs w:val="20"/>
              </w:rPr>
              <w:t>od</w:t>
            </w:r>
            <w:proofErr w:type="gramEnd"/>
            <w:r w:rsidRPr="00A521EF">
              <w:rPr>
                <w:sz w:val="20"/>
                <w:szCs w:val="20"/>
              </w:rPr>
              <w:t xml:space="preserve"> 30 do 70</w:t>
            </w:r>
          </w:p>
        </w:tc>
      </w:tr>
      <w:tr w:rsidR="007F092B" w:rsidRPr="00A521EF" w:rsidTr="007F092B">
        <w:trPr>
          <w:trHeight w:val="306"/>
        </w:trPr>
        <w:tc>
          <w:tcPr>
            <w:tcW w:w="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6</w:t>
            </w: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Ścieralność w bębnie Los Angeles wg PN-B-06714-42</w:t>
            </w:r>
            <w:r w:rsidR="002F2638">
              <w:rPr>
                <w:sz w:val="20"/>
                <w:szCs w:val="20"/>
              </w:rPr>
              <w:t xml:space="preserve"> [28]</w:t>
            </w:r>
          </w:p>
        </w:tc>
        <w:tc>
          <w:tcPr>
            <w:tcW w:w="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</w:tr>
      <w:tr w:rsidR="007F092B" w:rsidRPr="00A521EF" w:rsidTr="007F092B">
        <w:trPr>
          <w:trHeight w:val="254"/>
        </w:trPr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7F092B">
            <w:pPr>
              <w:rPr>
                <w:sz w:val="20"/>
                <w:szCs w:val="20"/>
              </w:rPr>
            </w:pPr>
            <w:proofErr w:type="gramStart"/>
            <w:r w:rsidRPr="00A521EF">
              <w:rPr>
                <w:sz w:val="20"/>
                <w:szCs w:val="20"/>
              </w:rPr>
              <w:t>a</w:t>
            </w:r>
            <w:proofErr w:type="gramEnd"/>
            <w:r w:rsidRPr="00A521EF">
              <w:rPr>
                <w:sz w:val="20"/>
                <w:szCs w:val="20"/>
              </w:rPr>
              <w:t>) ścieralność całkowita po pełnej liczbie obrotów, nie więcej ni</w:t>
            </w:r>
            <w:r>
              <w:rPr>
                <w:sz w:val="20"/>
                <w:szCs w:val="20"/>
              </w:rPr>
              <w:t>ż</w:t>
            </w:r>
          </w:p>
        </w:tc>
        <w:tc>
          <w:tcPr>
            <w:tcW w:w="16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35</w:t>
            </w:r>
          </w:p>
        </w:tc>
      </w:tr>
      <w:tr w:rsidR="007F092B" w:rsidRPr="00A521EF" w:rsidTr="007F092B">
        <w:trPr>
          <w:trHeight w:val="253"/>
        </w:trPr>
        <w:tc>
          <w:tcPr>
            <w:tcW w:w="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7F092B">
            <w:pPr>
              <w:rPr>
                <w:sz w:val="20"/>
                <w:szCs w:val="20"/>
              </w:rPr>
            </w:pPr>
            <w:proofErr w:type="gramStart"/>
            <w:r w:rsidRPr="00A521EF">
              <w:rPr>
                <w:sz w:val="20"/>
                <w:szCs w:val="20"/>
              </w:rPr>
              <w:t>b</w:t>
            </w:r>
            <w:proofErr w:type="gramEnd"/>
            <w:r w:rsidRPr="00A521EF">
              <w:rPr>
                <w:sz w:val="20"/>
                <w:szCs w:val="20"/>
              </w:rPr>
              <w:t>) ścieralność częściowa po 1/5 pełnej liczby obrotów, nie więcej ni</w:t>
            </w:r>
            <w:r>
              <w:rPr>
                <w:sz w:val="20"/>
                <w:szCs w:val="20"/>
              </w:rPr>
              <w:t>ż</w:t>
            </w:r>
          </w:p>
        </w:tc>
        <w:tc>
          <w:tcPr>
            <w:tcW w:w="16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30</w:t>
            </w:r>
          </w:p>
        </w:tc>
      </w:tr>
      <w:tr w:rsidR="007F092B" w:rsidRPr="00A521EF" w:rsidTr="007F092B">
        <w:trPr>
          <w:trHeight w:val="306"/>
        </w:trPr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7</w:t>
            </w: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7F092B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Nasiąkliwość, %(m/m), nie więcej ni</w:t>
            </w:r>
            <w:r>
              <w:rPr>
                <w:sz w:val="20"/>
                <w:szCs w:val="20"/>
              </w:rPr>
              <w:t>ż</w:t>
            </w:r>
            <w:r w:rsidRPr="00A521EF">
              <w:rPr>
                <w:sz w:val="20"/>
                <w:szCs w:val="20"/>
              </w:rPr>
              <w:t>: wg PN-B-06714-18</w:t>
            </w:r>
            <w:r w:rsidR="002F2638">
              <w:rPr>
                <w:sz w:val="20"/>
                <w:szCs w:val="20"/>
              </w:rPr>
              <w:t xml:space="preserve"> [29]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3</w:t>
            </w:r>
          </w:p>
        </w:tc>
      </w:tr>
      <w:tr w:rsidR="007F092B" w:rsidRPr="00A521EF" w:rsidTr="007F092B">
        <w:trPr>
          <w:trHeight w:val="308"/>
        </w:trPr>
        <w:tc>
          <w:tcPr>
            <w:tcW w:w="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8</w:t>
            </w: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7F092B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Mrozoodporność, ubytek masy po 25 cyklach zamra</w:t>
            </w:r>
            <w:r>
              <w:rPr>
                <w:sz w:val="20"/>
                <w:szCs w:val="20"/>
              </w:rPr>
              <w:t>ż</w:t>
            </w:r>
            <w:r w:rsidRPr="00A521EF">
              <w:rPr>
                <w:sz w:val="20"/>
                <w:szCs w:val="20"/>
              </w:rPr>
              <w:t>ania, %(m/m), nie</w:t>
            </w:r>
          </w:p>
        </w:tc>
        <w:tc>
          <w:tcPr>
            <w:tcW w:w="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</w:tr>
      <w:tr w:rsidR="007F092B" w:rsidRPr="00A521EF" w:rsidTr="007F092B">
        <w:trPr>
          <w:trHeight w:val="313"/>
        </w:trPr>
        <w:tc>
          <w:tcPr>
            <w:tcW w:w="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7F092B">
            <w:pPr>
              <w:rPr>
                <w:sz w:val="20"/>
                <w:szCs w:val="20"/>
              </w:rPr>
            </w:pPr>
            <w:proofErr w:type="gramStart"/>
            <w:r w:rsidRPr="00A521EF">
              <w:rPr>
                <w:sz w:val="20"/>
                <w:szCs w:val="20"/>
              </w:rPr>
              <w:t>więcej</w:t>
            </w:r>
            <w:proofErr w:type="gramEnd"/>
            <w:r w:rsidRPr="00A521EF">
              <w:rPr>
                <w:sz w:val="20"/>
                <w:szCs w:val="20"/>
              </w:rPr>
              <w:t xml:space="preserve"> ni</w:t>
            </w:r>
            <w:r>
              <w:rPr>
                <w:sz w:val="20"/>
                <w:szCs w:val="20"/>
              </w:rPr>
              <w:t>ż</w:t>
            </w:r>
            <w:r w:rsidRPr="00A521EF">
              <w:rPr>
                <w:sz w:val="20"/>
                <w:szCs w:val="20"/>
              </w:rPr>
              <w:t>: wg PN-B-06714-19</w:t>
            </w:r>
            <w:r w:rsidR="002F2638">
              <w:rPr>
                <w:sz w:val="20"/>
                <w:szCs w:val="20"/>
              </w:rPr>
              <w:t xml:space="preserve"> [30]</w:t>
            </w:r>
          </w:p>
        </w:tc>
        <w:tc>
          <w:tcPr>
            <w:tcW w:w="16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5</w:t>
            </w:r>
          </w:p>
        </w:tc>
      </w:tr>
      <w:tr w:rsidR="007F092B" w:rsidRPr="00A521EF" w:rsidTr="007F092B">
        <w:trPr>
          <w:trHeight w:val="308"/>
        </w:trPr>
        <w:tc>
          <w:tcPr>
            <w:tcW w:w="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9</w:t>
            </w: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Zawartość związków siarki w przeliczeniu na SO3, %(m/m), nie więcej ni</w:t>
            </w:r>
            <w:r>
              <w:rPr>
                <w:sz w:val="20"/>
                <w:szCs w:val="20"/>
              </w:rPr>
              <w:t>ż</w:t>
            </w:r>
          </w:p>
        </w:tc>
        <w:tc>
          <w:tcPr>
            <w:tcW w:w="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</w:tr>
      <w:tr w:rsidR="007F092B" w:rsidRPr="00A521EF" w:rsidTr="007F092B">
        <w:trPr>
          <w:trHeight w:val="253"/>
        </w:trPr>
        <w:tc>
          <w:tcPr>
            <w:tcW w:w="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proofErr w:type="gramStart"/>
            <w:r w:rsidRPr="00A521EF">
              <w:rPr>
                <w:sz w:val="20"/>
                <w:szCs w:val="20"/>
              </w:rPr>
              <w:t>wg</w:t>
            </w:r>
            <w:proofErr w:type="gramEnd"/>
            <w:r w:rsidRPr="00A521EF">
              <w:rPr>
                <w:sz w:val="20"/>
                <w:szCs w:val="20"/>
              </w:rPr>
              <w:t xml:space="preserve"> PN-B-06714-28</w:t>
            </w:r>
            <w:r w:rsidR="002F2638">
              <w:rPr>
                <w:sz w:val="20"/>
                <w:szCs w:val="20"/>
              </w:rPr>
              <w:t xml:space="preserve"> [31]</w:t>
            </w:r>
          </w:p>
        </w:tc>
        <w:tc>
          <w:tcPr>
            <w:tcW w:w="16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1</w:t>
            </w:r>
          </w:p>
        </w:tc>
      </w:tr>
      <w:tr w:rsidR="007F092B" w:rsidRPr="00A521EF" w:rsidTr="007F092B">
        <w:trPr>
          <w:trHeight w:val="308"/>
        </w:trPr>
        <w:tc>
          <w:tcPr>
            <w:tcW w:w="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10</w:t>
            </w: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7F092B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Wskaźnik nośności w</w:t>
            </w:r>
            <w:r w:rsidRPr="007F092B">
              <w:rPr>
                <w:sz w:val="20"/>
                <w:szCs w:val="20"/>
                <w:vertAlign w:val="subscript"/>
              </w:rPr>
              <w:t xml:space="preserve">noś </w:t>
            </w:r>
            <w:r>
              <w:rPr>
                <w:sz w:val="20"/>
                <w:szCs w:val="20"/>
              </w:rPr>
              <w:t>mie</w:t>
            </w:r>
            <w:r w:rsidRPr="00A521EF">
              <w:rPr>
                <w:sz w:val="20"/>
                <w:szCs w:val="20"/>
              </w:rPr>
              <w:t>szanki kruszywa, %, nie mniejszy ni</w:t>
            </w:r>
            <w:r>
              <w:rPr>
                <w:sz w:val="20"/>
                <w:szCs w:val="20"/>
              </w:rPr>
              <w:t>ż</w:t>
            </w:r>
            <w:r w:rsidRPr="00A521EF">
              <w:rPr>
                <w:sz w:val="20"/>
                <w:szCs w:val="20"/>
              </w:rPr>
              <w:t xml:space="preserve"> wg PN-S-06102</w:t>
            </w:r>
            <w:r w:rsidR="002F2638">
              <w:rPr>
                <w:sz w:val="20"/>
                <w:szCs w:val="20"/>
              </w:rPr>
              <w:t xml:space="preserve"> [25]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</w:tr>
      <w:tr w:rsidR="007F092B" w:rsidRPr="00A521EF" w:rsidTr="007F092B">
        <w:trPr>
          <w:trHeight w:val="308"/>
        </w:trPr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proofErr w:type="gramStart"/>
            <w:r w:rsidRPr="00A521EF">
              <w:rPr>
                <w:sz w:val="20"/>
                <w:szCs w:val="20"/>
              </w:rPr>
              <w:t>a)  przy</w:t>
            </w:r>
            <w:proofErr w:type="gramEnd"/>
            <w:r w:rsidRPr="00A521EF">
              <w:rPr>
                <w:sz w:val="20"/>
                <w:szCs w:val="20"/>
              </w:rPr>
              <w:t xml:space="preserve"> zagęszczeniu IS ³ 1,00</w:t>
            </w:r>
          </w:p>
        </w:tc>
        <w:tc>
          <w:tcPr>
            <w:tcW w:w="16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80</w:t>
            </w:r>
          </w:p>
        </w:tc>
      </w:tr>
      <w:tr w:rsidR="007F092B" w:rsidRPr="00A521EF" w:rsidTr="007F092B">
        <w:trPr>
          <w:trHeight w:val="308"/>
        </w:trPr>
        <w:tc>
          <w:tcPr>
            <w:tcW w:w="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</w:p>
        </w:tc>
        <w:tc>
          <w:tcPr>
            <w:tcW w:w="72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proofErr w:type="gramStart"/>
            <w:r w:rsidRPr="00A521EF">
              <w:rPr>
                <w:sz w:val="20"/>
                <w:szCs w:val="20"/>
              </w:rPr>
              <w:t>b)  przy</w:t>
            </w:r>
            <w:proofErr w:type="gramEnd"/>
            <w:r w:rsidRPr="00A521EF">
              <w:rPr>
                <w:sz w:val="20"/>
                <w:szCs w:val="20"/>
              </w:rPr>
              <w:t xml:space="preserve"> zagęszczeniu IS ³ 1,03</w:t>
            </w:r>
          </w:p>
        </w:tc>
        <w:tc>
          <w:tcPr>
            <w:tcW w:w="16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92B" w:rsidRPr="00A521EF" w:rsidRDefault="007F092B" w:rsidP="00A521EF">
            <w:pPr>
              <w:rPr>
                <w:sz w:val="20"/>
                <w:szCs w:val="20"/>
              </w:rPr>
            </w:pPr>
            <w:r w:rsidRPr="00A521EF">
              <w:rPr>
                <w:sz w:val="20"/>
                <w:szCs w:val="20"/>
              </w:rPr>
              <w:t>120</w:t>
            </w:r>
          </w:p>
        </w:tc>
      </w:tr>
    </w:tbl>
    <w:p w:rsidR="00A521EF" w:rsidRPr="009B62DF" w:rsidRDefault="00A521EF" w:rsidP="009B62DF">
      <w:pPr>
        <w:spacing w:before="60"/>
        <w:jc w:val="center"/>
        <w:rPr>
          <w:sz w:val="20"/>
          <w:szCs w:val="20"/>
        </w:rPr>
      </w:pPr>
    </w:p>
    <w:p w:rsidR="00272089" w:rsidRPr="009B62DF" w:rsidRDefault="00272089" w:rsidP="009B62DF">
      <w:pPr>
        <w:pStyle w:val="Nagwek3"/>
        <w:rPr>
          <w:sz w:val="20"/>
          <w:szCs w:val="20"/>
        </w:rPr>
      </w:pPr>
      <w:r w:rsidRPr="009B62DF">
        <w:rPr>
          <w:sz w:val="20"/>
          <w:szCs w:val="20"/>
        </w:rPr>
        <w:t>Wymagania wobec wody do zraszania kruszywa</w:t>
      </w:r>
    </w:p>
    <w:p w:rsidR="00272089" w:rsidRPr="002C0C2F" w:rsidRDefault="001819AF" w:rsidP="00272089">
      <w:r w:rsidRPr="009B62DF">
        <w:rPr>
          <w:sz w:val="20"/>
          <w:szCs w:val="20"/>
        </w:rPr>
        <w:tab/>
      </w:r>
      <w:r w:rsidR="00272089" w:rsidRPr="009B62DF">
        <w:rPr>
          <w:sz w:val="20"/>
          <w:szCs w:val="20"/>
        </w:rPr>
        <w:t>Do zraszania kruszywa należy stosować wodę nie zawierającą składników wpływających szkodliwie na mieszankę kruszywa, ale uniemożliwiającą właściwe zagęszczenie mieszanki niezwiązanej.</w:t>
      </w:r>
      <w:r w:rsidR="007F092B">
        <w:rPr>
          <w:sz w:val="20"/>
          <w:szCs w:val="20"/>
        </w:rPr>
        <w:t xml:space="preserve"> Woda powinna odpowiadać wymaganiom normy </w:t>
      </w:r>
      <w:r w:rsidR="007F092B" w:rsidRPr="00503421">
        <w:rPr>
          <w:sz w:val="20"/>
          <w:szCs w:val="20"/>
        </w:rPr>
        <w:t>PN-EN 1008</w:t>
      </w:r>
      <w:r w:rsidR="007F092B">
        <w:rPr>
          <w:sz w:val="20"/>
          <w:szCs w:val="20"/>
        </w:rPr>
        <w:t xml:space="preserve"> [23].</w:t>
      </w:r>
    </w:p>
    <w:p w:rsidR="00272089" w:rsidRPr="008A420C" w:rsidRDefault="00272089" w:rsidP="002C0C2F">
      <w:pPr>
        <w:pStyle w:val="Nagwek1"/>
        <w:rPr>
          <w:i/>
        </w:rPr>
      </w:pPr>
      <w:r w:rsidRPr="008A420C">
        <w:t>SPRZĘT</w:t>
      </w:r>
    </w:p>
    <w:p w:rsidR="00272089" w:rsidRPr="009B62DF" w:rsidRDefault="00272089" w:rsidP="007B7F08">
      <w:pPr>
        <w:pStyle w:val="Nagwek2"/>
        <w:rPr>
          <w:sz w:val="20"/>
          <w:szCs w:val="20"/>
        </w:rPr>
      </w:pPr>
      <w:r w:rsidRPr="009B62DF">
        <w:rPr>
          <w:sz w:val="20"/>
          <w:szCs w:val="20"/>
        </w:rPr>
        <w:t>Ogólne wymagania dotyczące sprzętu</w:t>
      </w:r>
    </w:p>
    <w:p w:rsidR="00272089" w:rsidRPr="009B62DF" w:rsidRDefault="007B7F08" w:rsidP="00272089">
      <w:pPr>
        <w:rPr>
          <w:sz w:val="20"/>
          <w:szCs w:val="20"/>
        </w:rPr>
      </w:pPr>
      <w:r w:rsidRPr="009B62DF">
        <w:rPr>
          <w:sz w:val="20"/>
          <w:szCs w:val="20"/>
        </w:rPr>
        <w:tab/>
      </w:r>
      <w:r w:rsidR="00272089" w:rsidRPr="009B62DF">
        <w:rPr>
          <w:sz w:val="20"/>
          <w:szCs w:val="20"/>
        </w:rPr>
        <w:t>Wymagania dotyczące spr</w:t>
      </w:r>
      <w:r w:rsidRPr="009B62DF">
        <w:rPr>
          <w:sz w:val="20"/>
          <w:szCs w:val="20"/>
        </w:rPr>
        <w:t xml:space="preserve">zętu podano w </w:t>
      </w:r>
      <w:r w:rsidR="009B62DF">
        <w:rPr>
          <w:sz w:val="20"/>
          <w:szCs w:val="20"/>
        </w:rPr>
        <w:t>ST</w:t>
      </w:r>
      <w:r w:rsidRPr="009B62DF">
        <w:rPr>
          <w:sz w:val="20"/>
          <w:szCs w:val="20"/>
        </w:rPr>
        <w:t xml:space="preserve"> D-M-00.00.00 „Wymagania ogólne” pkt. 3.</w:t>
      </w:r>
    </w:p>
    <w:p w:rsidR="00272089" w:rsidRPr="009B62DF" w:rsidRDefault="00272089" w:rsidP="007B7F08">
      <w:pPr>
        <w:pStyle w:val="Nagwek2"/>
        <w:rPr>
          <w:sz w:val="20"/>
          <w:szCs w:val="20"/>
        </w:rPr>
      </w:pPr>
      <w:r w:rsidRPr="009B62DF">
        <w:rPr>
          <w:sz w:val="20"/>
          <w:szCs w:val="20"/>
        </w:rPr>
        <w:t xml:space="preserve">Sprzęt do wykonania robót </w:t>
      </w:r>
    </w:p>
    <w:p w:rsidR="00272089" w:rsidRPr="009B62DF" w:rsidRDefault="007B7F08" w:rsidP="00272089">
      <w:pPr>
        <w:rPr>
          <w:sz w:val="20"/>
          <w:szCs w:val="20"/>
        </w:rPr>
      </w:pPr>
      <w:r w:rsidRPr="009B62DF">
        <w:rPr>
          <w:sz w:val="20"/>
          <w:szCs w:val="20"/>
        </w:rPr>
        <w:tab/>
      </w:r>
      <w:r w:rsidR="00272089" w:rsidRPr="009B62DF">
        <w:rPr>
          <w:sz w:val="20"/>
          <w:szCs w:val="20"/>
        </w:rPr>
        <w:t xml:space="preserve">Wykonawca przystępujący do wykonania </w:t>
      </w:r>
      <w:r w:rsidR="00230B43">
        <w:rPr>
          <w:sz w:val="20"/>
          <w:szCs w:val="20"/>
        </w:rPr>
        <w:t>nawierzchni</w:t>
      </w:r>
      <w:r w:rsidR="00272089" w:rsidRPr="009B62DF">
        <w:rPr>
          <w:sz w:val="20"/>
          <w:szCs w:val="20"/>
        </w:rPr>
        <w:t xml:space="preserve"> z kruszyw stabilizowanych mechanicznie</w:t>
      </w:r>
      <w:r w:rsidRPr="009B62DF">
        <w:rPr>
          <w:sz w:val="20"/>
          <w:szCs w:val="20"/>
        </w:rPr>
        <w:t xml:space="preserve"> </w:t>
      </w:r>
      <w:r w:rsidR="00272089" w:rsidRPr="009B62DF">
        <w:rPr>
          <w:sz w:val="20"/>
          <w:szCs w:val="20"/>
        </w:rPr>
        <w:t>powinien wykazać się możliwością korzystania z następującego sprzętu:</w:t>
      </w:r>
    </w:p>
    <w:p w:rsidR="00272089" w:rsidRPr="009B62DF" w:rsidRDefault="00272089" w:rsidP="007B7F08">
      <w:pPr>
        <w:pStyle w:val="Akapitzlist"/>
        <w:numPr>
          <w:ilvl w:val="0"/>
          <w:numId w:val="32"/>
        </w:numPr>
        <w:rPr>
          <w:sz w:val="20"/>
          <w:szCs w:val="20"/>
        </w:rPr>
      </w:pPr>
      <w:proofErr w:type="gramStart"/>
      <w:r w:rsidRPr="009B62DF">
        <w:rPr>
          <w:sz w:val="20"/>
          <w:szCs w:val="20"/>
        </w:rPr>
        <w:t>mieszarek</w:t>
      </w:r>
      <w:proofErr w:type="gramEnd"/>
      <w:r w:rsidRPr="009B62DF">
        <w:rPr>
          <w:sz w:val="20"/>
          <w:szCs w:val="20"/>
        </w:rPr>
        <w:t xml:space="preserve"> do wytwarzania mieszanki, wyposażonych w urządzenia dozujące wodę. Mieszarki powinny zapewnić wytworzenie jednorodnej mieszanki o wilgotności optymalnej,</w:t>
      </w:r>
    </w:p>
    <w:p w:rsidR="00272089" w:rsidRPr="009B62DF" w:rsidRDefault="00272089" w:rsidP="007B7F08">
      <w:pPr>
        <w:pStyle w:val="Akapitzlist"/>
        <w:numPr>
          <w:ilvl w:val="0"/>
          <w:numId w:val="32"/>
        </w:numPr>
        <w:rPr>
          <w:sz w:val="20"/>
          <w:szCs w:val="20"/>
        </w:rPr>
      </w:pPr>
      <w:proofErr w:type="gramStart"/>
      <w:r w:rsidRPr="009B62DF">
        <w:rPr>
          <w:sz w:val="20"/>
          <w:szCs w:val="20"/>
        </w:rPr>
        <w:t>równiarek</w:t>
      </w:r>
      <w:proofErr w:type="gramEnd"/>
      <w:r w:rsidRPr="009B62DF">
        <w:rPr>
          <w:sz w:val="20"/>
          <w:szCs w:val="20"/>
        </w:rPr>
        <w:t xml:space="preserve"> albo układarek do rozkładania mieszanki,</w:t>
      </w:r>
    </w:p>
    <w:p w:rsidR="00272089" w:rsidRPr="009B62DF" w:rsidRDefault="00272089" w:rsidP="007B7F08">
      <w:pPr>
        <w:pStyle w:val="Akapitzlist"/>
        <w:numPr>
          <w:ilvl w:val="0"/>
          <w:numId w:val="32"/>
        </w:numPr>
        <w:rPr>
          <w:sz w:val="20"/>
          <w:szCs w:val="20"/>
        </w:rPr>
      </w:pPr>
      <w:proofErr w:type="gramStart"/>
      <w:r w:rsidRPr="009B62DF">
        <w:rPr>
          <w:sz w:val="20"/>
          <w:szCs w:val="20"/>
        </w:rPr>
        <w:t>walców</w:t>
      </w:r>
      <w:proofErr w:type="gramEnd"/>
      <w:r w:rsidRPr="009B62DF">
        <w:rPr>
          <w:sz w:val="20"/>
          <w:szCs w:val="20"/>
        </w:rPr>
        <w:t xml:space="preserve"> ogumionych i stalowych wibracyjnych lub statycznych do zagęszczania. W miejscach trudno dostępnych powinny być stosowane zagęszczarki płytowe, ubijaki mechaniczne lub małe walce wibracyjne.</w:t>
      </w:r>
    </w:p>
    <w:p w:rsidR="00272089" w:rsidRPr="008A420C" w:rsidRDefault="00272089" w:rsidP="007B7F08">
      <w:pPr>
        <w:pStyle w:val="Nagwek1"/>
        <w:rPr>
          <w:i/>
        </w:rPr>
      </w:pPr>
      <w:r w:rsidRPr="008A420C">
        <w:t>TRANSPORT</w:t>
      </w:r>
    </w:p>
    <w:p w:rsidR="00272089" w:rsidRPr="009B62DF" w:rsidRDefault="00272089" w:rsidP="00F73611">
      <w:pPr>
        <w:pStyle w:val="Nagwek2"/>
        <w:rPr>
          <w:sz w:val="20"/>
          <w:szCs w:val="20"/>
        </w:rPr>
      </w:pPr>
      <w:r w:rsidRPr="009B62DF">
        <w:rPr>
          <w:sz w:val="20"/>
          <w:szCs w:val="20"/>
        </w:rPr>
        <w:t xml:space="preserve">Ogólne wymagania dotyczące transportu </w:t>
      </w:r>
    </w:p>
    <w:p w:rsidR="00272089" w:rsidRPr="009B62DF" w:rsidRDefault="00F73611" w:rsidP="00272089">
      <w:pPr>
        <w:rPr>
          <w:sz w:val="20"/>
          <w:szCs w:val="20"/>
        </w:rPr>
      </w:pPr>
      <w:r w:rsidRPr="009B62DF">
        <w:rPr>
          <w:sz w:val="20"/>
          <w:szCs w:val="20"/>
        </w:rPr>
        <w:tab/>
      </w:r>
      <w:r w:rsidR="00272089" w:rsidRPr="009B62DF">
        <w:rPr>
          <w:sz w:val="20"/>
          <w:szCs w:val="20"/>
        </w:rPr>
        <w:t>Wymagania dotycz</w:t>
      </w:r>
      <w:r w:rsidR="009B62DF" w:rsidRPr="009B62DF">
        <w:rPr>
          <w:sz w:val="20"/>
          <w:szCs w:val="20"/>
        </w:rPr>
        <w:t xml:space="preserve">ące transportu podano w </w:t>
      </w:r>
      <w:r w:rsidR="009B62DF">
        <w:rPr>
          <w:sz w:val="20"/>
          <w:szCs w:val="20"/>
        </w:rPr>
        <w:t>ST D-M-00.00.00</w:t>
      </w:r>
      <w:r w:rsidR="00272089" w:rsidRPr="009B62DF">
        <w:rPr>
          <w:sz w:val="20"/>
          <w:szCs w:val="20"/>
        </w:rPr>
        <w:t xml:space="preserve"> „Wymagania ogólne”</w:t>
      </w:r>
      <w:r w:rsidRPr="009B62DF">
        <w:rPr>
          <w:sz w:val="20"/>
          <w:szCs w:val="20"/>
        </w:rPr>
        <w:t xml:space="preserve"> pkt. 4</w:t>
      </w:r>
      <w:r w:rsidR="00272089" w:rsidRPr="009B62DF">
        <w:rPr>
          <w:sz w:val="20"/>
          <w:szCs w:val="20"/>
        </w:rPr>
        <w:t>.</w:t>
      </w:r>
    </w:p>
    <w:p w:rsidR="00272089" w:rsidRPr="009B62DF" w:rsidRDefault="00272089" w:rsidP="00F73611">
      <w:pPr>
        <w:pStyle w:val="Nagwek2"/>
        <w:rPr>
          <w:sz w:val="20"/>
          <w:szCs w:val="20"/>
        </w:rPr>
      </w:pPr>
      <w:proofErr w:type="gramStart"/>
      <w:r w:rsidRPr="009B62DF">
        <w:rPr>
          <w:sz w:val="20"/>
          <w:szCs w:val="20"/>
        </w:rPr>
        <w:t>Transport  materiałów</w:t>
      </w:r>
      <w:proofErr w:type="gramEnd"/>
    </w:p>
    <w:p w:rsidR="00272089" w:rsidRPr="009B62DF" w:rsidRDefault="00F73611" w:rsidP="00272089">
      <w:pPr>
        <w:rPr>
          <w:sz w:val="20"/>
          <w:szCs w:val="20"/>
        </w:rPr>
      </w:pPr>
      <w:r w:rsidRPr="009B62DF">
        <w:rPr>
          <w:sz w:val="20"/>
          <w:szCs w:val="20"/>
        </w:rPr>
        <w:tab/>
      </w:r>
      <w:r w:rsidR="00272089" w:rsidRPr="009B62DF">
        <w:rPr>
          <w:sz w:val="20"/>
          <w:szCs w:val="20"/>
        </w:rPr>
        <w:t>Kruszywa można przewozić dowolnymi środkami transportu w warunkach zabezpieczających je przed zanieczyszczeniem, zmieszaniem z innymi materiałami, nadmiernym wysuszeniem i</w:t>
      </w:r>
      <w:r w:rsidRPr="009B62DF">
        <w:rPr>
          <w:sz w:val="20"/>
          <w:szCs w:val="20"/>
        </w:rPr>
        <w:t> </w:t>
      </w:r>
      <w:r w:rsidR="00272089" w:rsidRPr="009B62DF">
        <w:rPr>
          <w:sz w:val="20"/>
          <w:szCs w:val="20"/>
        </w:rPr>
        <w:t>zawilgoceniem.</w:t>
      </w:r>
    </w:p>
    <w:p w:rsidR="00272089" w:rsidRPr="009B62DF" w:rsidRDefault="00F73611" w:rsidP="00272089">
      <w:pPr>
        <w:rPr>
          <w:sz w:val="20"/>
          <w:szCs w:val="20"/>
        </w:rPr>
      </w:pPr>
      <w:r w:rsidRPr="009B62DF">
        <w:rPr>
          <w:sz w:val="20"/>
          <w:szCs w:val="20"/>
        </w:rPr>
        <w:tab/>
      </w:r>
      <w:r w:rsidR="00272089" w:rsidRPr="009B62DF">
        <w:rPr>
          <w:sz w:val="20"/>
          <w:szCs w:val="20"/>
        </w:rPr>
        <w:t>Transport pozostałych materiałów powinien odbywać się zgodnie z wymaganiami norm przedmiotowych.</w:t>
      </w:r>
    </w:p>
    <w:p w:rsidR="00272089" w:rsidRPr="008A420C" w:rsidRDefault="00272089" w:rsidP="00F73611">
      <w:pPr>
        <w:pStyle w:val="Nagwek1"/>
      </w:pPr>
      <w:r w:rsidRPr="008A420C">
        <w:t>WYKONANIE ROBÓT</w:t>
      </w:r>
    </w:p>
    <w:p w:rsidR="00272089" w:rsidRPr="009B62DF" w:rsidRDefault="00272089" w:rsidP="00F73611">
      <w:pPr>
        <w:pStyle w:val="Nagwek2"/>
        <w:rPr>
          <w:rFonts w:cstheme="minorHAnsi"/>
          <w:sz w:val="20"/>
          <w:szCs w:val="20"/>
        </w:rPr>
      </w:pPr>
      <w:r w:rsidRPr="009B62DF">
        <w:rPr>
          <w:rFonts w:cstheme="minorHAnsi"/>
          <w:sz w:val="20"/>
          <w:szCs w:val="20"/>
        </w:rPr>
        <w:t>Ogólne zasady wykonania robót</w:t>
      </w:r>
    </w:p>
    <w:p w:rsidR="00272089" w:rsidRPr="009B62DF" w:rsidRDefault="00272089" w:rsidP="00272089">
      <w:pPr>
        <w:rPr>
          <w:rFonts w:cstheme="minorHAnsi"/>
          <w:sz w:val="20"/>
          <w:szCs w:val="20"/>
        </w:rPr>
      </w:pPr>
      <w:r w:rsidRPr="009B62DF">
        <w:rPr>
          <w:rFonts w:cstheme="minorHAnsi"/>
          <w:sz w:val="20"/>
          <w:szCs w:val="20"/>
        </w:rPr>
        <w:t xml:space="preserve">Ogólne zasady wykonania robót podano w </w:t>
      </w:r>
      <w:r w:rsidR="009B62DF" w:rsidRPr="009B62DF">
        <w:rPr>
          <w:rFonts w:cstheme="minorHAnsi"/>
          <w:sz w:val="20"/>
          <w:szCs w:val="20"/>
        </w:rPr>
        <w:t>ST</w:t>
      </w:r>
      <w:r w:rsidRPr="009B62DF">
        <w:rPr>
          <w:rFonts w:cstheme="minorHAnsi"/>
          <w:sz w:val="20"/>
          <w:szCs w:val="20"/>
        </w:rPr>
        <w:t xml:space="preserve"> D-M-00.00.00 „Wymagania </w:t>
      </w:r>
      <w:proofErr w:type="gramStart"/>
      <w:r w:rsidRPr="009B62DF">
        <w:rPr>
          <w:rFonts w:cstheme="minorHAnsi"/>
          <w:sz w:val="20"/>
          <w:szCs w:val="20"/>
        </w:rPr>
        <w:t>ogólne” .</w:t>
      </w:r>
      <w:proofErr w:type="gramEnd"/>
    </w:p>
    <w:p w:rsidR="00272089" w:rsidRPr="00230B43" w:rsidRDefault="00272089" w:rsidP="00272089">
      <w:pPr>
        <w:pStyle w:val="Nagwek2"/>
        <w:rPr>
          <w:rFonts w:cstheme="minorHAnsi"/>
          <w:sz w:val="20"/>
          <w:szCs w:val="20"/>
        </w:rPr>
      </w:pPr>
      <w:r w:rsidRPr="009B62DF">
        <w:rPr>
          <w:rFonts w:cstheme="minorHAnsi"/>
          <w:sz w:val="20"/>
          <w:szCs w:val="20"/>
        </w:rPr>
        <w:lastRenderedPageBreak/>
        <w:t>Przygotowanie podłoża</w:t>
      </w:r>
    </w:p>
    <w:p w:rsidR="00272089" w:rsidRPr="009B62DF" w:rsidRDefault="00F73611" w:rsidP="00D82087">
      <w:pPr>
        <w:spacing w:before="60"/>
        <w:rPr>
          <w:rFonts w:cstheme="minorHAnsi"/>
          <w:sz w:val="20"/>
          <w:szCs w:val="20"/>
        </w:rPr>
      </w:pPr>
      <w:r w:rsidRPr="009B62DF">
        <w:rPr>
          <w:rFonts w:cstheme="minorHAnsi"/>
          <w:sz w:val="20"/>
          <w:szCs w:val="20"/>
        </w:rPr>
        <w:tab/>
      </w:r>
      <w:r w:rsidR="00230B43">
        <w:rPr>
          <w:rFonts w:cstheme="minorHAnsi"/>
          <w:sz w:val="20"/>
          <w:szCs w:val="20"/>
        </w:rPr>
        <w:t>Nawierzchnia</w:t>
      </w:r>
      <w:r w:rsidR="00272089" w:rsidRPr="009B62DF">
        <w:rPr>
          <w:rFonts w:cstheme="minorHAnsi"/>
          <w:sz w:val="20"/>
          <w:szCs w:val="20"/>
        </w:rPr>
        <w:t xml:space="preserve"> powinna być ułożona na podłożu zapewniającym nieprzenikanie drobnych cząstek gruntu do podbudowy. Warunek nieprzenikania należy sprawdzić wzorem:</w:t>
      </w:r>
    </w:p>
    <w:p w:rsidR="00272089" w:rsidRPr="009B62DF" w:rsidRDefault="00C313D3" w:rsidP="00272089">
      <w:pPr>
        <w:rPr>
          <w:rFonts w:cstheme="minorHAnsi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cstheme="minorHAnsi"/>
                      <w:sz w:val="20"/>
                      <w:szCs w:val="20"/>
                    </w:rPr>
                    <m:t>15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cstheme="minorHAnsi"/>
                      <w:sz w:val="20"/>
                      <w:szCs w:val="20"/>
                    </w:rPr>
                    <m:t>85</m:t>
                  </m:r>
                </m:sub>
              </m:sSub>
            </m:den>
          </m:f>
          <m:r>
            <w:rPr>
              <w:rFonts w:ascii="Cambria Math" w:eastAsiaTheme="minorEastAsia" w:cstheme="minorHAnsi"/>
              <w:sz w:val="20"/>
              <w:szCs w:val="20"/>
            </w:rPr>
            <m:t>≤</m:t>
          </m:r>
          <m:r>
            <w:rPr>
              <w:rFonts w:ascii="Cambria Math" w:eastAsiaTheme="minorEastAsia" w:cstheme="minorHAnsi"/>
              <w:sz w:val="20"/>
              <w:szCs w:val="20"/>
            </w:rPr>
            <m:t>5</m:t>
          </m:r>
        </m:oMath>
      </m:oMathPara>
    </w:p>
    <w:p w:rsidR="00272089" w:rsidRPr="009B62DF" w:rsidRDefault="00F73611" w:rsidP="00272089">
      <w:pPr>
        <w:rPr>
          <w:rFonts w:cstheme="minorHAnsi"/>
          <w:sz w:val="20"/>
          <w:szCs w:val="20"/>
        </w:rPr>
      </w:pPr>
      <w:proofErr w:type="gramStart"/>
      <w:r w:rsidRPr="009B62DF">
        <w:rPr>
          <w:rFonts w:cstheme="minorHAnsi"/>
          <w:sz w:val="20"/>
          <w:szCs w:val="20"/>
        </w:rPr>
        <w:t>gdzie</w:t>
      </w:r>
      <w:proofErr w:type="gramEnd"/>
      <w:r w:rsidR="00272089" w:rsidRPr="009B62DF">
        <w:rPr>
          <w:rFonts w:cstheme="minorHAnsi"/>
          <w:sz w:val="20"/>
          <w:szCs w:val="20"/>
        </w:rPr>
        <w:t>:</w:t>
      </w:r>
    </w:p>
    <w:p w:rsidR="00272089" w:rsidRPr="009B62DF" w:rsidRDefault="00272089" w:rsidP="00F73611">
      <w:pPr>
        <w:ind w:left="1276" w:hanging="567"/>
        <w:rPr>
          <w:rFonts w:cstheme="minorHAnsi"/>
          <w:sz w:val="20"/>
          <w:szCs w:val="20"/>
        </w:rPr>
      </w:pPr>
      <w:r w:rsidRPr="009B62DF">
        <w:rPr>
          <w:rFonts w:cstheme="minorHAnsi"/>
          <w:sz w:val="20"/>
          <w:szCs w:val="20"/>
        </w:rPr>
        <w:t>D</w:t>
      </w:r>
      <w:r w:rsidRPr="009B62DF">
        <w:rPr>
          <w:rFonts w:cstheme="minorHAnsi"/>
          <w:sz w:val="20"/>
          <w:szCs w:val="20"/>
          <w:vertAlign w:val="subscript"/>
        </w:rPr>
        <w:t>15</w:t>
      </w:r>
      <w:r w:rsidRPr="009B62DF">
        <w:rPr>
          <w:rFonts w:cstheme="minorHAnsi"/>
          <w:sz w:val="20"/>
          <w:szCs w:val="20"/>
        </w:rPr>
        <w:t xml:space="preserve"> -</w:t>
      </w:r>
      <w:r w:rsidRPr="009B62DF">
        <w:rPr>
          <w:rFonts w:cstheme="minorHAnsi"/>
          <w:sz w:val="20"/>
          <w:szCs w:val="20"/>
        </w:rPr>
        <w:tab/>
        <w:t>wymiar boku oczka sita, przez które przechodzi 15% ziaren warstwy podbudowy lub warstwy odsączającej, w milimetrach,</w:t>
      </w:r>
    </w:p>
    <w:p w:rsidR="00272089" w:rsidRPr="009B62DF" w:rsidRDefault="00272089" w:rsidP="00F73611">
      <w:pPr>
        <w:ind w:left="1276" w:hanging="567"/>
        <w:rPr>
          <w:rFonts w:cstheme="minorHAnsi"/>
          <w:sz w:val="20"/>
          <w:szCs w:val="20"/>
        </w:rPr>
      </w:pPr>
      <w:proofErr w:type="gramStart"/>
      <w:r w:rsidRPr="009B62DF">
        <w:rPr>
          <w:rFonts w:cstheme="minorHAnsi"/>
          <w:sz w:val="20"/>
          <w:szCs w:val="20"/>
        </w:rPr>
        <w:t>d</w:t>
      </w:r>
      <w:proofErr w:type="gramEnd"/>
      <w:r w:rsidRPr="009B62DF">
        <w:rPr>
          <w:rFonts w:cstheme="minorHAnsi"/>
          <w:sz w:val="20"/>
          <w:szCs w:val="20"/>
          <w:vertAlign w:val="subscript"/>
        </w:rPr>
        <w:t>85</w:t>
      </w:r>
      <w:r w:rsidRPr="009B62DF">
        <w:rPr>
          <w:rFonts w:cstheme="minorHAnsi"/>
          <w:sz w:val="20"/>
          <w:szCs w:val="20"/>
        </w:rPr>
        <w:t xml:space="preserve"> -</w:t>
      </w:r>
      <w:r w:rsidRPr="009B62DF">
        <w:rPr>
          <w:rFonts w:cstheme="minorHAnsi"/>
          <w:sz w:val="20"/>
          <w:szCs w:val="20"/>
        </w:rPr>
        <w:tab/>
        <w:t>wymiar boku oczka sita, przez które przechodzi 85% ziaren gruntu podłoża, w</w:t>
      </w:r>
      <w:r w:rsidR="00F73611" w:rsidRPr="009B62DF">
        <w:rPr>
          <w:rFonts w:cstheme="minorHAnsi"/>
          <w:sz w:val="20"/>
          <w:szCs w:val="20"/>
        </w:rPr>
        <w:t> </w:t>
      </w:r>
      <w:r w:rsidRPr="009B62DF">
        <w:rPr>
          <w:rFonts w:cstheme="minorHAnsi"/>
          <w:sz w:val="20"/>
          <w:szCs w:val="20"/>
        </w:rPr>
        <w:t>milimetrach.</w:t>
      </w:r>
    </w:p>
    <w:p w:rsidR="00272089" w:rsidRPr="009B62DF" w:rsidRDefault="00272089" w:rsidP="00272089">
      <w:pPr>
        <w:rPr>
          <w:rFonts w:cstheme="minorHAnsi"/>
          <w:sz w:val="20"/>
          <w:szCs w:val="20"/>
        </w:rPr>
      </w:pPr>
      <w:r w:rsidRPr="009B62DF">
        <w:rPr>
          <w:rFonts w:cstheme="minorHAnsi"/>
          <w:sz w:val="20"/>
          <w:szCs w:val="20"/>
        </w:rPr>
        <w:tab/>
        <w:t xml:space="preserve">Jeżeli </w:t>
      </w:r>
      <w:r w:rsidR="00F73611" w:rsidRPr="009B62DF">
        <w:rPr>
          <w:rFonts w:cstheme="minorHAnsi"/>
          <w:sz w:val="20"/>
          <w:szCs w:val="20"/>
        </w:rPr>
        <w:t xml:space="preserve">powyższy </w:t>
      </w:r>
      <w:r w:rsidRPr="009B62DF">
        <w:rPr>
          <w:rFonts w:cstheme="minorHAnsi"/>
          <w:sz w:val="20"/>
          <w:szCs w:val="20"/>
        </w:rPr>
        <w:t>warunek nie może być spełniony, należy na podłożu ułożyć warstwę odcinającą lub odpowiednio dobraną geowłókninę. Ochronne właściwości geowłókniny, przeciw przenikaniu drobnych cząstek gruntu, wyznacza się z warunku:</w:t>
      </w:r>
    </w:p>
    <w:p w:rsidR="00272089" w:rsidRPr="009B62DF" w:rsidRDefault="00C313D3" w:rsidP="00272089">
      <w:pPr>
        <w:rPr>
          <w:rFonts w:cstheme="minorHAnsi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cstheme="minorHAnsi"/>
                      <w:sz w:val="20"/>
                      <w:szCs w:val="20"/>
                    </w:rPr>
                    <m:t>50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O</m:t>
                  </m:r>
                </m:e>
                <m:sub>
                  <m:r>
                    <w:rPr>
                      <w:rFonts w:ascii="Cambria Math" w:cstheme="minorHAnsi"/>
                      <w:sz w:val="20"/>
                      <w:szCs w:val="20"/>
                    </w:rPr>
                    <m:t>90</m:t>
                  </m:r>
                </m:sub>
              </m:sSub>
            </m:den>
          </m:f>
          <m:r>
            <w:rPr>
              <w:rFonts w:ascii="Cambria Math" w:eastAsiaTheme="minorEastAsia" w:cstheme="minorHAnsi"/>
              <w:sz w:val="20"/>
              <w:szCs w:val="20"/>
            </w:rPr>
            <m:t>≤</m:t>
          </m:r>
          <m:r>
            <w:rPr>
              <w:rFonts w:ascii="Cambria Math" w:eastAsiaTheme="minorEastAsia" w:cstheme="minorHAnsi"/>
              <w:sz w:val="20"/>
              <w:szCs w:val="20"/>
            </w:rPr>
            <m:t>1,2</m:t>
          </m:r>
        </m:oMath>
      </m:oMathPara>
    </w:p>
    <w:p w:rsidR="00272089" w:rsidRPr="009B62DF" w:rsidRDefault="00F73611" w:rsidP="00272089">
      <w:pPr>
        <w:rPr>
          <w:rFonts w:cstheme="minorHAnsi"/>
          <w:sz w:val="20"/>
          <w:szCs w:val="20"/>
        </w:rPr>
      </w:pPr>
      <w:proofErr w:type="gramStart"/>
      <w:r w:rsidRPr="009B62DF">
        <w:rPr>
          <w:rFonts w:cstheme="minorHAnsi"/>
          <w:sz w:val="20"/>
          <w:szCs w:val="20"/>
        </w:rPr>
        <w:t>gdzie</w:t>
      </w:r>
      <w:proofErr w:type="gramEnd"/>
      <w:r w:rsidR="00272089" w:rsidRPr="009B62DF">
        <w:rPr>
          <w:rFonts w:cstheme="minorHAnsi"/>
          <w:sz w:val="20"/>
          <w:szCs w:val="20"/>
        </w:rPr>
        <w:t>:</w:t>
      </w:r>
    </w:p>
    <w:p w:rsidR="00272089" w:rsidRPr="009B62DF" w:rsidRDefault="00272089" w:rsidP="00F73611">
      <w:pPr>
        <w:ind w:left="1276" w:hanging="567"/>
        <w:rPr>
          <w:rFonts w:cstheme="minorHAnsi"/>
          <w:sz w:val="20"/>
          <w:szCs w:val="20"/>
        </w:rPr>
      </w:pPr>
      <w:proofErr w:type="gramStart"/>
      <w:r w:rsidRPr="009B62DF">
        <w:rPr>
          <w:rFonts w:cstheme="minorHAnsi"/>
          <w:sz w:val="20"/>
          <w:szCs w:val="20"/>
        </w:rPr>
        <w:t>d</w:t>
      </w:r>
      <w:proofErr w:type="gramEnd"/>
      <w:r w:rsidRPr="009B62DF">
        <w:rPr>
          <w:rFonts w:cstheme="minorHAnsi"/>
          <w:sz w:val="20"/>
          <w:szCs w:val="20"/>
          <w:vertAlign w:val="subscript"/>
        </w:rPr>
        <w:t>50</w:t>
      </w:r>
      <w:r w:rsidRPr="009B62DF">
        <w:rPr>
          <w:rFonts w:cstheme="minorHAnsi"/>
          <w:sz w:val="20"/>
          <w:szCs w:val="20"/>
        </w:rPr>
        <w:t xml:space="preserve"> -</w:t>
      </w:r>
      <w:r w:rsidRPr="009B62DF">
        <w:rPr>
          <w:rFonts w:cstheme="minorHAnsi"/>
          <w:sz w:val="20"/>
          <w:szCs w:val="20"/>
        </w:rPr>
        <w:tab/>
        <w:t>wymiar boku oczka sita, przez które przechodz</w:t>
      </w:r>
      <w:r w:rsidR="00F73611" w:rsidRPr="009B62DF">
        <w:rPr>
          <w:rFonts w:cstheme="minorHAnsi"/>
          <w:sz w:val="20"/>
          <w:szCs w:val="20"/>
        </w:rPr>
        <w:t>i 50 % ziaren gruntu podłoża,</w:t>
      </w:r>
      <w:r w:rsidRPr="009B62DF">
        <w:rPr>
          <w:rFonts w:cstheme="minorHAnsi"/>
          <w:sz w:val="20"/>
          <w:szCs w:val="20"/>
        </w:rPr>
        <w:t xml:space="preserve"> w</w:t>
      </w:r>
      <w:r w:rsidR="00F73611" w:rsidRPr="009B62DF">
        <w:rPr>
          <w:rFonts w:cstheme="minorHAnsi"/>
          <w:sz w:val="20"/>
          <w:szCs w:val="20"/>
        </w:rPr>
        <w:t> </w:t>
      </w:r>
      <w:r w:rsidRPr="009B62DF">
        <w:rPr>
          <w:rFonts w:cstheme="minorHAnsi"/>
          <w:sz w:val="20"/>
          <w:szCs w:val="20"/>
        </w:rPr>
        <w:t>milimetrach,</w:t>
      </w:r>
    </w:p>
    <w:p w:rsidR="00272089" w:rsidRPr="009B62DF" w:rsidRDefault="00272089" w:rsidP="00F73611">
      <w:pPr>
        <w:ind w:left="1276" w:hanging="567"/>
        <w:rPr>
          <w:rFonts w:cstheme="minorHAnsi"/>
          <w:sz w:val="20"/>
          <w:szCs w:val="20"/>
        </w:rPr>
      </w:pPr>
      <w:r w:rsidRPr="009B62DF">
        <w:rPr>
          <w:rFonts w:cstheme="minorHAnsi"/>
          <w:sz w:val="20"/>
          <w:szCs w:val="20"/>
        </w:rPr>
        <w:t>O</w:t>
      </w:r>
      <w:r w:rsidRPr="009B62DF">
        <w:rPr>
          <w:rFonts w:cstheme="minorHAnsi"/>
          <w:sz w:val="20"/>
          <w:szCs w:val="20"/>
          <w:vertAlign w:val="subscript"/>
        </w:rPr>
        <w:t>90</w:t>
      </w:r>
      <w:r w:rsidRPr="009B62DF">
        <w:rPr>
          <w:rFonts w:cstheme="minorHAnsi"/>
          <w:sz w:val="20"/>
          <w:szCs w:val="20"/>
        </w:rPr>
        <w:t xml:space="preserve"> -</w:t>
      </w:r>
      <w:r w:rsidRPr="009B62DF">
        <w:rPr>
          <w:rFonts w:cstheme="minorHAnsi"/>
          <w:sz w:val="20"/>
          <w:szCs w:val="20"/>
        </w:rPr>
        <w:tab/>
        <w:t>umowna średnica porów geowłókniny odpowiadająca wymiarom frakcji gruntu zatrzymująca się na geowłókninie w ilości 90% (m/m); wartość parametru 0</w:t>
      </w:r>
      <w:r w:rsidRPr="009B62DF">
        <w:rPr>
          <w:rFonts w:cstheme="minorHAnsi"/>
          <w:sz w:val="20"/>
          <w:szCs w:val="20"/>
          <w:vertAlign w:val="subscript"/>
        </w:rPr>
        <w:t>90</w:t>
      </w:r>
      <w:r w:rsidRPr="009B62DF">
        <w:rPr>
          <w:rFonts w:cstheme="minorHAnsi"/>
          <w:sz w:val="20"/>
          <w:szCs w:val="20"/>
        </w:rPr>
        <w:t xml:space="preserve"> powinna być podawana przez producenta geowłókniny.</w:t>
      </w:r>
    </w:p>
    <w:p w:rsidR="00272089" w:rsidRPr="009B62DF" w:rsidRDefault="00F73611" w:rsidP="00272089">
      <w:pPr>
        <w:rPr>
          <w:rFonts w:cstheme="minorHAnsi"/>
          <w:sz w:val="20"/>
          <w:szCs w:val="20"/>
        </w:rPr>
      </w:pPr>
      <w:r w:rsidRPr="009B62DF">
        <w:rPr>
          <w:rFonts w:cstheme="minorHAnsi"/>
          <w:sz w:val="20"/>
          <w:szCs w:val="20"/>
        </w:rPr>
        <w:tab/>
      </w:r>
      <w:r w:rsidR="00272089" w:rsidRPr="009B62DF">
        <w:rPr>
          <w:rFonts w:cstheme="minorHAnsi"/>
          <w:sz w:val="20"/>
          <w:szCs w:val="20"/>
        </w:rPr>
        <w:t xml:space="preserve">Paliki lub szpilki do prawidłowego ukształtowania </w:t>
      </w:r>
      <w:r w:rsidR="00230B43">
        <w:rPr>
          <w:rFonts w:cstheme="minorHAnsi"/>
          <w:sz w:val="20"/>
          <w:szCs w:val="20"/>
        </w:rPr>
        <w:t>warstwy</w:t>
      </w:r>
      <w:r w:rsidR="00272089" w:rsidRPr="009B62DF">
        <w:rPr>
          <w:rFonts w:cstheme="minorHAnsi"/>
          <w:sz w:val="20"/>
          <w:szCs w:val="20"/>
        </w:rPr>
        <w:t xml:space="preserve"> powinny być wcześniej przygotowane.</w:t>
      </w:r>
      <w:r w:rsidRPr="009B62DF">
        <w:rPr>
          <w:rFonts w:cstheme="minorHAnsi"/>
          <w:sz w:val="20"/>
          <w:szCs w:val="20"/>
        </w:rPr>
        <w:t xml:space="preserve"> </w:t>
      </w:r>
      <w:r w:rsidR="00272089" w:rsidRPr="009B62DF">
        <w:rPr>
          <w:rFonts w:cstheme="minorHAnsi"/>
          <w:sz w:val="20"/>
          <w:szCs w:val="20"/>
        </w:rPr>
        <w:t xml:space="preserve">Paliki lub szpilki powinny być ustawione w osi drogi i w rzędach równoległych do osi drogi, lub w inny sposób zaakceptowany przez Inżyniera. Rozmieszczenie palików lub szpilek powinno umożliwiać naciągnięcie sznurków lub linek do wytyczenia robót w odstępach nie </w:t>
      </w:r>
      <w:proofErr w:type="gramStart"/>
      <w:r w:rsidR="00272089" w:rsidRPr="009B62DF">
        <w:rPr>
          <w:rFonts w:cstheme="minorHAnsi"/>
          <w:sz w:val="20"/>
          <w:szCs w:val="20"/>
        </w:rPr>
        <w:t>większych niż co</w:t>
      </w:r>
      <w:proofErr w:type="gramEnd"/>
      <w:r w:rsidR="00272089" w:rsidRPr="009B62DF">
        <w:rPr>
          <w:rFonts w:cstheme="minorHAnsi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0 m"/>
        </w:smartTagPr>
        <w:r w:rsidR="00272089" w:rsidRPr="009B62DF">
          <w:rPr>
            <w:rFonts w:cstheme="minorHAnsi"/>
            <w:sz w:val="20"/>
            <w:szCs w:val="20"/>
          </w:rPr>
          <w:t>10 m</w:t>
        </w:r>
      </w:smartTag>
      <w:r w:rsidR="00272089" w:rsidRPr="009B62DF">
        <w:rPr>
          <w:rFonts w:cstheme="minorHAnsi"/>
          <w:sz w:val="20"/>
          <w:szCs w:val="20"/>
        </w:rPr>
        <w:t>.</w:t>
      </w:r>
    </w:p>
    <w:p w:rsidR="00272089" w:rsidRPr="009B62DF" w:rsidRDefault="00272089" w:rsidP="00F73611">
      <w:pPr>
        <w:pStyle w:val="Nagwek2"/>
        <w:rPr>
          <w:rFonts w:cstheme="minorHAnsi"/>
          <w:sz w:val="20"/>
          <w:szCs w:val="20"/>
        </w:rPr>
      </w:pPr>
      <w:r w:rsidRPr="009B62DF">
        <w:rPr>
          <w:rFonts w:cstheme="minorHAnsi"/>
          <w:sz w:val="20"/>
          <w:szCs w:val="20"/>
        </w:rPr>
        <w:t>Wytwarzanie mieszanki kruszywa</w:t>
      </w:r>
    </w:p>
    <w:p w:rsidR="00272089" w:rsidRPr="009B62DF" w:rsidRDefault="00272089" w:rsidP="00272089">
      <w:pPr>
        <w:rPr>
          <w:rFonts w:cstheme="minorHAnsi"/>
          <w:sz w:val="20"/>
          <w:szCs w:val="20"/>
        </w:rPr>
      </w:pPr>
      <w:r w:rsidRPr="009B62DF">
        <w:rPr>
          <w:rFonts w:cstheme="minorHAnsi"/>
          <w:sz w:val="20"/>
          <w:szCs w:val="20"/>
        </w:rPr>
        <w:tab/>
        <w:t>Mieszankę kruszywa o ściśle określonym uziarnieniu i wilgotności optymalnej należy wytwarzać w</w:t>
      </w:r>
      <w:r w:rsidR="00F73611" w:rsidRPr="009B62DF">
        <w:rPr>
          <w:rFonts w:cstheme="minorHAnsi"/>
          <w:sz w:val="20"/>
          <w:szCs w:val="20"/>
        </w:rPr>
        <w:t> </w:t>
      </w:r>
      <w:r w:rsidRPr="009B62DF">
        <w:rPr>
          <w:rFonts w:cstheme="minorHAnsi"/>
          <w:sz w:val="20"/>
          <w:szCs w:val="20"/>
        </w:rPr>
        <w:t>mieszarkach gwarantujących otrzymanie jednorodnej mieszanki. Ze względu na konieczność zapewnienia jednorodności nie dopuszcza się wytwarzania mieszanki</w:t>
      </w:r>
      <w:r w:rsidR="00F5763F">
        <w:rPr>
          <w:rFonts w:cstheme="minorHAnsi"/>
          <w:sz w:val="20"/>
          <w:szCs w:val="20"/>
        </w:rPr>
        <w:t xml:space="preserve"> przez mieszanie poszczególnych</w:t>
      </w:r>
      <w:r w:rsidR="00230B43">
        <w:rPr>
          <w:rFonts w:cstheme="minorHAnsi"/>
          <w:sz w:val="20"/>
          <w:szCs w:val="20"/>
        </w:rPr>
        <w:t xml:space="preserve"> </w:t>
      </w:r>
      <w:r w:rsidRPr="009B62DF">
        <w:rPr>
          <w:rFonts w:cstheme="minorHAnsi"/>
          <w:sz w:val="20"/>
          <w:szCs w:val="20"/>
        </w:rPr>
        <w:t>frakcji na drodze. Mieszanka po wyprodukowaniu powinna być od razu transportowana na miejsce wbudowania w taki sposób, aby nie uległa rozsegregowaniu i wysychaniu.</w:t>
      </w:r>
    </w:p>
    <w:p w:rsidR="00272089" w:rsidRPr="009B62DF" w:rsidRDefault="00272089" w:rsidP="00F73611">
      <w:pPr>
        <w:pStyle w:val="Nagwek2"/>
        <w:rPr>
          <w:rFonts w:cstheme="minorHAnsi"/>
          <w:sz w:val="20"/>
          <w:szCs w:val="20"/>
        </w:rPr>
      </w:pPr>
      <w:r w:rsidRPr="009B62DF">
        <w:rPr>
          <w:rFonts w:cstheme="minorHAnsi"/>
          <w:sz w:val="20"/>
          <w:szCs w:val="20"/>
        </w:rPr>
        <w:t>Wbudowywanie i zagęszczanie mieszanki kruszywa</w:t>
      </w:r>
    </w:p>
    <w:p w:rsidR="00272089" w:rsidRDefault="00F73611" w:rsidP="00D82087">
      <w:pPr>
        <w:spacing w:before="60"/>
        <w:rPr>
          <w:rFonts w:cstheme="minorHAnsi"/>
          <w:sz w:val="20"/>
          <w:szCs w:val="20"/>
        </w:rPr>
      </w:pPr>
      <w:r w:rsidRPr="009B62DF">
        <w:rPr>
          <w:rFonts w:cstheme="minorHAnsi"/>
          <w:sz w:val="20"/>
          <w:szCs w:val="20"/>
        </w:rPr>
        <w:tab/>
      </w:r>
      <w:r w:rsidR="00272089" w:rsidRPr="009B62DF">
        <w:rPr>
          <w:rFonts w:cstheme="minorHAnsi"/>
          <w:sz w:val="20"/>
          <w:szCs w:val="20"/>
        </w:rPr>
        <w:t>Mieszanka kruszywa powinna być rozkładana w warstwie o jednakowej grubości, takiej, aby jej ostateczna grubość po zagęszczeniu była równa grubości projektowanej. Grubość pojedynczo układanej warstwy nie może przekraczać 20</w:t>
      </w:r>
      <w:r w:rsidRPr="009B62DF">
        <w:rPr>
          <w:rFonts w:cstheme="minorHAnsi"/>
          <w:sz w:val="20"/>
          <w:szCs w:val="20"/>
        </w:rPr>
        <w:t xml:space="preserve"> </w:t>
      </w:r>
      <w:r w:rsidR="00272089" w:rsidRPr="009B62DF">
        <w:rPr>
          <w:rFonts w:cstheme="minorHAnsi"/>
          <w:sz w:val="20"/>
          <w:szCs w:val="20"/>
        </w:rPr>
        <w:t>cm po zagęszczeniu. Warstwa powinna być rozłożona w sposób zapewniający osiągnięcie wymaganych spadków i r</w:t>
      </w:r>
      <w:r w:rsidR="00230B43">
        <w:rPr>
          <w:rFonts w:cstheme="minorHAnsi"/>
          <w:sz w:val="20"/>
          <w:szCs w:val="20"/>
        </w:rPr>
        <w:t>zędnych wysokościowych. Jeżeli warstwa</w:t>
      </w:r>
      <w:r w:rsidR="00272089" w:rsidRPr="009B62DF">
        <w:rPr>
          <w:rFonts w:cstheme="minorHAnsi"/>
          <w:sz w:val="20"/>
          <w:szCs w:val="20"/>
        </w:rPr>
        <w:t xml:space="preserve"> składa się z więcej niż jednej warstwy kruszywa, to każda warstwa powinna być wyprofilowana i zagęszczona z zachowaniem wymaganych spadków i rzędnych wysokościowych. Rozpoczęcie budowy każdej następnej warstwy może nastąpić po odbiorze poprzedniej warstwy przez Inżyniera.</w:t>
      </w:r>
    </w:p>
    <w:p w:rsidR="00230B43" w:rsidRPr="00230B43" w:rsidRDefault="00230B43" w:rsidP="00423845">
      <w:pPr>
        <w:spacing w:before="60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w:r w:rsidRPr="00230B43">
        <w:rPr>
          <w:sz w:val="20"/>
          <w:szCs w:val="20"/>
        </w:rPr>
        <w:t>Nale</w:t>
      </w:r>
      <w:r>
        <w:rPr>
          <w:sz w:val="20"/>
          <w:szCs w:val="20"/>
        </w:rPr>
        <w:t>ż</w:t>
      </w:r>
      <w:r w:rsidRPr="00230B43">
        <w:rPr>
          <w:sz w:val="20"/>
          <w:szCs w:val="20"/>
        </w:rPr>
        <w:t xml:space="preserve">y wykonać zamulenie górnej warstwy nawierzchni - rozsypać cienką warstwę miału (lub ew. piasku), obficie skropić go wodą i wcierać, w zaklinowaną warstwę kruszywa, wytworzoną papkę szczotkami z </w:t>
      </w:r>
      <w:proofErr w:type="spellStart"/>
      <w:r w:rsidRPr="00230B43">
        <w:rPr>
          <w:sz w:val="20"/>
          <w:szCs w:val="20"/>
        </w:rPr>
        <w:t>piasawy</w:t>
      </w:r>
      <w:proofErr w:type="spellEnd"/>
      <w:r w:rsidRPr="00230B43">
        <w:rPr>
          <w:sz w:val="20"/>
          <w:szCs w:val="20"/>
        </w:rPr>
        <w:t>. W</w:t>
      </w:r>
      <w:r>
        <w:rPr>
          <w:sz w:val="20"/>
          <w:szCs w:val="20"/>
        </w:rPr>
        <w:t> </w:t>
      </w:r>
      <w:r w:rsidRPr="00230B43">
        <w:rPr>
          <w:sz w:val="20"/>
          <w:szCs w:val="20"/>
        </w:rPr>
        <w:t>trakcie zamulania nale</w:t>
      </w:r>
      <w:r>
        <w:rPr>
          <w:sz w:val="20"/>
          <w:szCs w:val="20"/>
        </w:rPr>
        <w:t>ż</w:t>
      </w:r>
      <w:r w:rsidRPr="00230B43">
        <w:rPr>
          <w:sz w:val="20"/>
          <w:szCs w:val="20"/>
        </w:rPr>
        <w:t>y przepuścić kilka razy walec na szybkim biegu transportowym, aby papka została wessana w głąb warstwy. Wały walca nale</w:t>
      </w:r>
      <w:r>
        <w:rPr>
          <w:sz w:val="20"/>
          <w:szCs w:val="20"/>
        </w:rPr>
        <w:t>ż</w:t>
      </w:r>
      <w:r w:rsidRPr="00230B43">
        <w:rPr>
          <w:sz w:val="20"/>
          <w:szCs w:val="20"/>
        </w:rPr>
        <w:t xml:space="preserve">y obficie polewać wodą, w celu uniknięcia przyklejania do nich papki, </w:t>
      </w:r>
      <w:proofErr w:type="spellStart"/>
      <w:r w:rsidRPr="00230B43">
        <w:rPr>
          <w:sz w:val="20"/>
          <w:szCs w:val="20"/>
        </w:rPr>
        <w:t>ziarn</w:t>
      </w:r>
      <w:proofErr w:type="spellEnd"/>
      <w:r w:rsidRPr="00230B43">
        <w:rPr>
          <w:sz w:val="20"/>
          <w:szCs w:val="20"/>
        </w:rPr>
        <w:t xml:space="preserve"> klińca i tłucznia. Zamulanie jest zakończone, gdy papka przestanie przenikać w głąb warstwy.</w:t>
      </w:r>
    </w:p>
    <w:p w:rsidR="00230B43" w:rsidRPr="00230B43" w:rsidRDefault="00423845" w:rsidP="00423845">
      <w:pPr>
        <w:spacing w:before="60"/>
        <w:rPr>
          <w:sz w:val="20"/>
          <w:szCs w:val="20"/>
        </w:rPr>
      </w:pPr>
      <w:r>
        <w:rPr>
          <w:sz w:val="20"/>
          <w:szCs w:val="20"/>
        </w:rPr>
        <w:tab/>
      </w:r>
      <w:r w:rsidR="00230B43" w:rsidRPr="00230B43">
        <w:rPr>
          <w:sz w:val="20"/>
          <w:szCs w:val="20"/>
        </w:rPr>
        <w:t>Jeśli nie wykonuje się zamulenia nawierzchni, to do klinowania kruszywa grubego nale</w:t>
      </w:r>
      <w:r>
        <w:rPr>
          <w:sz w:val="20"/>
          <w:szCs w:val="20"/>
        </w:rPr>
        <w:t>ż</w:t>
      </w:r>
      <w:r w:rsidR="00230B43" w:rsidRPr="00230B43">
        <w:rPr>
          <w:sz w:val="20"/>
          <w:szCs w:val="20"/>
        </w:rPr>
        <w:t>y dodawać równie</w:t>
      </w:r>
      <w:r>
        <w:rPr>
          <w:sz w:val="20"/>
          <w:szCs w:val="20"/>
        </w:rPr>
        <w:t xml:space="preserve">ż </w:t>
      </w:r>
      <w:r w:rsidR="00230B43" w:rsidRPr="00230B43">
        <w:rPr>
          <w:sz w:val="20"/>
          <w:szCs w:val="20"/>
        </w:rPr>
        <w:t>miał.</w:t>
      </w:r>
    </w:p>
    <w:p w:rsidR="00272089" w:rsidRPr="009B62DF" w:rsidRDefault="00F73611" w:rsidP="00D82087">
      <w:pPr>
        <w:spacing w:before="60"/>
        <w:rPr>
          <w:rFonts w:cstheme="minorHAnsi"/>
          <w:sz w:val="20"/>
          <w:szCs w:val="20"/>
        </w:rPr>
      </w:pPr>
      <w:r w:rsidRPr="009B62DF">
        <w:rPr>
          <w:rFonts w:cstheme="minorHAnsi"/>
          <w:sz w:val="20"/>
          <w:szCs w:val="20"/>
        </w:rPr>
        <w:tab/>
      </w:r>
      <w:r w:rsidR="00272089" w:rsidRPr="009B62DF">
        <w:rPr>
          <w:rFonts w:cstheme="minorHAnsi"/>
          <w:sz w:val="20"/>
          <w:szCs w:val="20"/>
        </w:rPr>
        <w:t xml:space="preserve">Wilgotność mieszanki kruszywa podczas zagęszczania powinna odpowiadać wilgotności optymalnej, określonej według próby </w:t>
      </w:r>
      <w:proofErr w:type="spellStart"/>
      <w:r w:rsidR="00272089" w:rsidRPr="009B62DF">
        <w:rPr>
          <w:rFonts w:cstheme="minorHAnsi"/>
          <w:sz w:val="20"/>
          <w:szCs w:val="20"/>
        </w:rPr>
        <w:t>Proctora</w:t>
      </w:r>
      <w:proofErr w:type="spellEnd"/>
      <w:r w:rsidR="00272089" w:rsidRPr="009B62DF">
        <w:rPr>
          <w:rFonts w:cstheme="minorHAnsi"/>
          <w:sz w:val="20"/>
          <w:szCs w:val="20"/>
        </w:rPr>
        <w:t>, zgodnie z PN-B-04481</w:t>
      </w:r>
      <w:r w:rsidR="009B62DF">
        <w:rPr>
          <w:rFonts w:cstheme="minorHAnsi"/>
          <w:sz w:val="20"/>
          <w:szCs w:val="20"/>
        </w:rPr>
        <w:t xml:space="preserve"> </w:t>
      </w:r>
      <w:r w:rsidR="009B62DF" w:rsidRPr="009B62DF">
        <w:rPr>
          <w:sz w:val="20"/>
          <w:szCs w:val="20"/>
        </w:rPr>
        <w:t>[4]</w:t>
      </w:r>
      <w:r w:rsidR="00272089" w:rsidRPr="009B62DF">
        <w:rPr>
          <w:rFonts w:cstheme="minorHAnsi"/>
          <w:sz w:val="20"/>
          <w:szCs w:val="20"/>
        </w:rPr>
        <w:t xml:space="preserve"> (metoda II). Materiał nadmiernie nawilgocony, powinien zostać osuszony przez mieszanie i napowietrzanie. Jeżeli wilgotność mieszanki kruszywa jest niższa od optymalnej o 20% jej wartości, mieszanka powinna być zwilżona określoną ilością wody i równomiernie wymieszana. W przypadku, gdy wilgotność mieszanki kruszywa jest wyższa od optymalnej o 10% jej wartości, mieszankę należy osuszyć.</w:t>
      </w:r>
    </w:p>
    <w:p w:rsidR="00272089" w:rsidRPr="00423845" w:rsidRDefault="00197C06" w:rsidP="00423845">
      <w:pPr>
        <w:rPr>
          <w:rFonts w:cstheme="minorHAnsi"/>
          <w:sz w:val="18"/>
          <w:szCs w:val="20"/>
        </w:rPr>
      </w:pPr>
      <w:r w:rsidRPr="00423845">
        <w:rPr>
          <w:rFonts w:cstheme="minorHAnsi"/>
          <w:sz w:val="18"/>
          <w:szCs w:val="20"/>
        </w:rPr>
        <w:tab/>
      </w:r>
      <w:r w:rsidR="00423845" w:rsidRPr="00423845">
        <w:rPr>
          <w:sz w:val="20"/>
        </w:rPr>
        <w:t>Wskaźnik zagęszczenia nawierzchni wg BN-77/8931-12 [7] powinien odpowiadać przyjętemu poziomowi wskaźnika nośności wg tablicy 1, lp. 10.</w:t>
      </w:r>
    </w:p>
    <w:p w:rsidR="00272089" w:rsidRPr="008A420C" w:rsidRDefault="00272089" w:rsidP="00197C06">
      <w:pPr>
        <w:pStyle w:val="Nagwek1"/>
        <w:rPr>
          <w:i/>
        </w:rPr>
      </w:pPr>
      <w:proofErr w:type="gramStart"/>
      <w:r w:rsidRPr="008A420C">
        <w:t>KONTROLA JAKOŚCI</w:t>
      </w:r>
      <w:proofErr w:type="gramEnd"/>
      <w:r w:rsidRPr="008A420C">
        <w:t xml:space="preserve"> ROBÓT</w:t>
      </w:r>
    </w:p>
    <w:p w:rsidR="00272089" w:rsidRPr="00D82087" w:rsidRDefault="00272089" w:rsidP="00197C06">
      <w:pPr>
        <w:pStyle w:val="Nagwek2"/>
        <w:rPr>
          <w:sz w:val="20"/>
          <w:szCs w:val="20"/>
        </w:rPr>
      </w:pPr>
      <w:r w:rsidRPr="00D82087">
        <w:rPr>
          <w:sz w:val="20"/>
          <w:szCs w:val="20"/>
        </w:rPr>
        <w:t xml:space="preserve">Ogólne zasady </w:t>
      </w:r>
      <w:proofErr w:type="gramStart"/>
      <w:r w:rsidRPr="00D82087">
        <w:rPr>
          <w:sz w:val="20"/>
          <w:szCs w:val="20"/>
        </w:rPr>
        <w:t>kontroli jakości</w:t>
      </w:r>
      <w:proofErr w:type="gramEnd"/>
      <w:r w:rsidRPr="00D82087">
        <w:rPr>
          <w:sz w:val="20"/>
          <w:szCs w:val="20"/>
        </w:rPr>
        <w:t xml:space="preserve"> robót</w:t>
      </w:r>
    </w:p>
    <w:p w:rsidR="00272089" w:rsidRPr="00D82087" w:rsidRDefault="00197C06" w:rsidP="00272089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 xml:space="preserve">Ogólne zasady </w:t>
      </w:r>
      <w:proofErr w:type="gramStart"/>
      <w:r w:rsidR="00272089" w:rsidRPr="00D82087">
        <w:rPr>
          <w:sz w:val="20"/>
          <w:szCs w:val="20"/>
        </w:rPr>
        <w:t>kontroli jakości</w:t>
      </w:r>
      <w:proofErr w:type="gramEnd"/>
      <w:r w:rsidR="00272089" w:rsidRPr="00D82087">
        <w:rPr>
          <w:sz w:val="20"/>
          <w:szCs w:val="20"/>
        </w:rPr>
        <w:t xml:space="preserve"> robót podano w SST D-M-00.00.00 „Wymagania ogólne” </w:t>
      </w:r>
      <w:r w:rsidRPr="00D82087">
        <w:rPr>
          <w:sz w:val="20"/>
          <w:szCs w:val="20"/>
        </w:rPr>
        <w:t>pkt. 6</w:t>
      </w:r>
      <w:r w:rsidR="00272089" w:rsidRPr="00D82087">
        <w:rPr>
          <w:sz w:val="20"/>
          <w:szCs w:val="20"/>
        </w:rPr>
        <w:t>.</w:t>
      </w:r>
    </w:p>
    <w:p w:rsidR="00272089" w:rsidRPr="00D82087" w:rsidRDefault="00272089" w:rsidP="00197C06">
      <w:pPr>
        <w:pStyle w:val="Nagwek2"/>
        <w:rPr>
          <w:sz w:val="20"/>
          <w:szCs w:val="20"/>
        </w:rPr>
      </w:pPr>
      <w:r w:rsidRPr="00D82087">
        <w:rPr>
          <w:sz w:val="20"/>
          <w:szCs w:val="20"/>
        </w:rPr>
        <w:t>Badania przed przystąpieniem do robót</w:t>
      </w:r>
    </w:p>
    <w:p w:rsidR="00272089" w:rsidRPr="00D82087" w:rsidRDefault="00197C06" w:rsidP="00197C06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>Przed przystąpieniem do robót Wykonawca powinien wykonać badania kruszyw przeznaczonych do wykonania robót i przedstawić wyniki tych badań Inżynierowi w celu akceptacji m</w:t>
      </w:r>
      <w:r w:rsidRPr="00D82087">
        <w:rPr>
          <w:sz w:val="20"/>
          <w:szCs w:val="20"/>
        </w:rPr>
        <w:t xml:space="preserve">ateriałów. Badania te </w:t>
      </w:r>
      <w:r w:rsidR="00272089" w:rsidRPr="00D82087">
        <w:rPr>
          <w:sz w:val="20"/>
          <w:szCs w:val="20"/>
        </w:rPr>
        <w:t>powinny obejmować wszystkie właściwości określone w pkt</w:t>
      </w:r>
      <w:r w:rsidR="001F6236">
        <w:rPr>
          <w:sz w:val="20"/>
          <w:szCs w:val="20"/>
        </w:rPr>
        <w:t>.</w:t>
      </w:r>
      <w:r w:rsidR="00272089" w:rsidRPr="00D82087">
        <w:rPr>
          <w:sz w:val="20"/>
          <w:szCs w:val="20"/>
        </w:rPr>
        <w:t xml:space="preserve"> 2.</w:t>
      </w:r>
      <w:r w:rsidR="001F6236">
        <w:rPr>
          <w:sz w:val="20"/>
          <w:szCs w:val="20"/>
        </w:rPr>
        <w:t>3</w:t>
      </w:r>
      <w:r w:rsidR="00272089" w:rsidRPr="00D82087">
        <w:rPr>
          <w:sz w:val="20"/>
          <w:szCs w:val="20"/>
        </w:rPr>
        <w:t xml:space="preserve"> niniejszej S</w:t>
      </w:r>
      <w:r w:rsidRPr="00D82087">
        <w:rPr>
          <w:sz w:val="20"/>
          <w:szCs w:val="20"/>
        </w:rPr>
        <w:t>S</w:t>
      </w:r>
      <w:r w:rsidR="00272089" w:rsidRPr="00D82087">
        <w:rPr>
          <w:sz w:val="20"/>
          <w:szCs w:val="20"/>
        </w:rPr>
        <w:t>T.</w:t>
      </w:r>
    </w:p>
    <w:p w:rsidR="00272089" w:rsidRPr="00D82087" w:rsidRDefault="00272089" w:rsidP="00197C06">
      <w:pPr>
        <w:pStyle w:val="Nagwek2"/>
        <w:rPr>
          <w:sz w:val="20"/>
          <w:szCs w:val="20"/>
        </w:rPr>
      </w:pPr>
      <w:r w:rsidRPr="00D82087">
        <w:rPr>
          <w:sz w:val="20"/>
          <w:szCs w:val="20"/>
        </w:rPr>
        <w:t>Badania w czasie robót</w:t>
      </w:r>
    </w:p>
    <w:p w:rsidR="00272089" w:rsidRPr="00D82087" w:rsidRDefault="00272089" w:rsidP="00197C06">
      <w:pPr>
        <w:pStyle w:val="Nagwek3"/>
        <w:rPr>
          <w:sz w:val="20"/>
          <w:szCs w:val="20"/>
        </w:rPr>
      </w:pPr>
      <w:r w:rsidRPr="00D82087">
        <w:rPr>
          <w:sz w:val="20"/>
          <w:szCs w:val="20"/>
        </w:rPr>
        <w:t>Częstotliwość oraz zakres badań i pomiarów</w:t>
      </w:r>
    </w:p>
    <w:p w:rsidR="00272089" w:rsidRPr="00D82087" w:rsidRDefault="00197C06" w:rsidP="00272089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>Częstotliwoś</w:t>
      </w:r>
      <w:r w:rsidR="00423845">
        <w:rPr>
          <w:sz w:val="20"/>
          <w:szCs w:val="20"/>
        </w:rPr>
        <w:t>ć oraz zakres badań</w:t>
      </w:r>
      <w:r w:rsidRPr="00D82087">
        <w:rPr>
          <w:sz w:val="20"/>
          <w:szCs w:val="20"/>
        </w:rPr>
        <w:t xml:space="preserve"> podano w Tab.</w:t>
      </w:r>
      <w:r w:rsidR="00423845">
        <w:rPr>
          <w:sz w:val="20"/>
          <w:szCs w:val="20"/>
        </w:rPr>
        <w:t>2</w:t>
      </w:r>
      <w:r w:rsidR="00272089" w:rsidRPr="00D82087">
        <w:rPr>
          <w:sz w:val="20"/>
          <w:szCs w:val="20"/>
        </w:rPr>
        <w:t>.</w:t>
      </w:r>
    </w:p>
    <w:p w:rsidR="00272089" w:rsidRPr="00197C06" w:rsidRDefault="00272089" w:rsidP="00197C06">
      <w:pPr>
        <w:jc w:val="center"/>
        <w:rPr>
          <w:sz w:val="20"/>
          <w:szCs w:val="20"/>
        </w:rPr>
      </w:pPr>
      <w:r w:rsidRPr="00197C06">
        <w:rPr>
          <w:sz w:val="20"/>
          <w:szCs w:val="20"/>
        </w:rPr>
        <w:t>Tab</w:t>
      </w:r>
      <w:r w:rsidR="00197C06" w:rsidRPr="00197C06">
        <w:rPr>
          <w:sz w:val="20"/>
          <w:szCs w:val="20"/>
        </w:rPr>
        <w:t>.</w:t>
      </w:r>
      <w:r w:rsidR="00423845">
        <w:rPr>
          <w:sz w:val="20"/>
          <w:szCs w:val="20"/>
        </w:rPr>
        <w:t>2</w:t>
      </w:r>
      <w:r w:rsidRPr="00197C06">
        <w:rPr>
          <w:sz w:val="20"/>
          <w:szCs w:val="20"/>
        </w:rPr>
        <w:t xml:space="preserve">. Częstotliwość oraz zakres badań przy budowie </w:t>
      </w:r>
      <w:r w:rsidR="002F2638">
        <w:rPr>
          <w:sz w:val="20"/>
          <w:szCs w:val="20"/>
        </w:rPr>
        <w:t>nawierzchni</w:t>
      </w:r>
      <w:r w:rsidRPr="00197C06">
        <w:rPr>
          <w:sz w:val="20"/>
          <w:szCs w:val="20"/>
        </w:rPr>
        <w:t xml:space="preserve"> z kruszyw stabilizow</w:t>
      </w:r>
      <w:r w:rsidR="00197C06" w:rsidRPr="00197C06">
        <w:rPr>
          <w:sz w:val="20"/>
          <w:szCs w:val="20"/>
        </w:rPr>
        <w:t>anego mechanicznie</w:t>
      </w:r>
    </w:p>
    <w:tbl>
      <w:tblPr>
        <w:tblW w:w="95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4320"/>
        <w:gridCol w:w="4752"/>
      </w:tblGrid>
      <w:tr w:rsidR="00197C06" w:rsidRPr="00D82087" w:rsidTr="00551F48">
        <w:trPr>
          <w:jc w:val="center"/>
        </w:trPr>
        <w:tc>
          <w:tcPr>
            <w:tcW w:w="4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97C06" w:rsidRPr="00D82087" w:rsidRDefault="00197C06" w:rsidP="00551F48">
            <w:pPr>
              <w:jc w:val="center"/>
              <w:rPr>
                <w:sz w:val="20"/>
              </w:rPr>
            </w:pPr>
            <w:r w:rsidRPr="00D82087">
              <w:rPr>
                <w:sz w:val="20"/>
              </w:rPr>
              <w:t>Lp</w:t>
            </w:r>
            <w:r w:rsidR="00551F48" w:rsidRPr="00D82087">
              <w:rPr>
                <w:sz w:val="20"/>
              </w:rPr>
              <w:t>.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197C06" w:rsidRPr="00D82087" w:rsidRDefault="00197C06" w:rsidP="00551F48">
            <w:pPr>
              <w:jc w:val="center"/>
              <w:rPr>
                <w:sz w:val="20"/>
              </w:rPr>
            </w:pPr>
            <w:r w:rsidRPr="00D82087">
              <w:rPr>
                <w:sz w:val="20"/>
              </w:rPr>
              <w:t>Wyszczególnienie badań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06" w:rsidRPr="00D82087" w:rsidRDefault="00197C06" w:rsidP="00551F48">
            <w:pPr>
              <w:jc w:val="center"/>
              <w:rPr>
                <w:sz w:val="20"/>
              </w:rPr>
            </w:pPr>
            <w:r w:rsidRPr="00D82087">
              <w:rPr>
                <w:sz w:val="20"/>
              </w:rPr>
              <w:t>Częstotliwość badań</w:t>
            </w:r>
          </w:p>
        </w:tc>
      </w:tr>
      <w:tr w:rsidR="001F6236" w:rsidRPr="00D82087" w:rsidTr="001F6236">
        <w:trPr>
          <w:jc w:val="center"/>
        </w:trPr>
        <w:tc>
          <w:tcPr>
            <w:tcW w:w="464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F6236" w:rsidRPr="00D82087" w:rsidRDefault="001F6236" w:rsidP="00551F48">
            <w:pPr>
              <w:jc w:val="center"/>
              <w:rPr>
                <w:sz w:val="20"/>
              </w:rPr>
            </w:pPr>
          </w:p>
        </w:tc>
        <w:tc>
          <w:tcPr>
            <w:tcW w:w="4320" w:type="dxa"/>
            <w:vMerge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1F6236" w:rsidRPr="00D82087" w:rsidRDefault="001F6236" w:rsidP="00551F48">
            <w:pPr>
              <w:jc w:val="center"/>
              <w:rPr>
                <w:sz w:val="20"/>
              </w:rPr>
            </w:pP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F6236" w:rsidRPr="00D82087" w:rsidRDefault="001F6236" w:rsidP="001F6236">
            <w:pPr>
              <w:jc w:val="center"/>
              <w:rPr>
                <w:sz w:val="20"/>
              </w:rPr>
            </w:pPr>
            <w:r w:rsidRPr="00D82087">
              <w:rPr>
                <w:sz w:val="20"/>
              </w:rPr>
              <w:t>Minimalna liczba badań na dziennej działce roboczej</w:t>
            </w:r>
          </w:p>
        </w:tc>
      </w:tr>
      <w:tr w:rsidR="001F6236" w:rsidRPr="00D82087" w:rsidTr="001F6236">
        <w:trPr>
          <w:jc w:val="center"/>
        </w:trPr>
        <w:tc>
          <w:tcPr>
            <w:tcW w:w="46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236" w:rsidRPr="00D82087" w:rsidRDefault="001F6236" w:rsidP="00551F48">
            <w:pPr>
              <w:jc w:val="center"/>
              <w:rPr>
                <w:sz w:val="20"/>
              </w:rPr>
            </w:pPr>
            <w:r w:rsidRPr="00D82087">
              <w:rPr>
                <w:sz w:val="20"/>
              </w:rPr>
              <w:t>1</w:t>
            </w:r>
          </w:p>
        </w:tc>
        <w:tc>
          <w:tcPr>
            <w:tcW w:w="432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1F6236" w:rsidRPr="00D82087" w:rsidRDefault="001F6236" w:rsidP="00551F48">
            <w:pPr>
              <w:jc w:val="center"/>
              <w:rPr>
                <w:sz w:val="20"/>
              </w:rPr>
            </w:pPr>
            <w:r w:rsidRPr="00D82087">
              <w:rPr>
                <w:sz w:val="20"/>
              </w:rPr>
              <w:t>Uziarnienie mieszanki</w:t>
            </w:r>
          </w:p>
        </w:tc>
        <w:tc>
          <w:tcPr>
            <w:tcW w:w="475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236" w:rsidRPr="00D82087" w:rsidRDefault="001F6236" w:rsidP="00551F48">
            <w:pPr>
              <w:jc w:val="center"/>
              <w:rPr>
                <w:sz w:val="20"/>
              </w:rPr>
            </w:pPr>
            <w:r w:rsidRPr="00D82087">
              <w:rPr>
                <w:sz w:val="20"/>
              </w:rPr>
              <w:t>2</w:t>
            </w:r>
          </w:p>
        </w:tc>
      </w:tr>
      <w:tr w:rsidR="001F6236" w:rsidRPr="00D82087" w:rsidTr="001F6236">
        <w:trPr>
          <w:jc w:val="center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236" w:rsidRPr="00D82087" w:rsidRDefault="001F6236" w:rsidP="00551F48">
            <w:pPr>
              <w:jc w:val="center"/>
              <w:rPr>
                <w:sz w:val="20"/>
              </w:rPr>
            </w:pPr>
            <w:r w:rsidRPr="00D82087">
              <w:rPr>
                <w:sz w:val="20"/>
              </w:rPr>
              <w:t>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6236" w:rsidRPr="00D82087" w:rsidRDefault="001F6236" w:rsidP="00551F48">
            <w:pPr>
              <w:jc w:val="center"/>
              <w:rPr>
                <w:sz w:val="20"/>
              </w:rPr>
            </w:pPr>
            <w:r w:rsidRPr="00D82087">
              <w:rPr>
                <w:sz w:val="20"/>
              </w:rPr>
              <w:t>Wilgotność mieszanki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F6236" w:rsidRPr="00D82087" w:rsidRDefault="001F6236" w:rsidP="00551F48">
            <w:pPr>
              <w:jc w:val="center"/>
              <w:rPr>
                <w:sz w:val="20"/>
              </w:rPr>
            </w:pPr>
            <w:r w:rsidRPr="00D82087">
              <w:rPr>
                <w:sz w:val="20"/>
              </w:rPr>
              <w:t>2</w:t>
            </w:r>
          </w:p>
        </w:tc>
      </w:tr>
      <w:tr w:rsidR="001F6236" w:rsidRPr="00D82087" w:rsidTr="001F6236">
        <w:trPr>
          <w:jc w:val="center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236" w:rsidRPr="00D82087" w:rsidRDefault="001F6236" w:rsidP="00551F48">
            <w:pPr>
              <w:jc w:val="center"/>
              <w:rPr>
                <w:sz w:val="20"/>
              </w:rPr>
            </w:pPr>
            <w:r w:rsidRPr="00D82087">
              <w:rPr>
                <w:sz w:val="20"/>
              </w:rPr>
              <w:t>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6236" w:rsidRPr="00D82087" w:rsidRDefault="001F6236" w:rsidP="00551F48">
            <w:pPr>
              <w:jc w:val="center"/>
              <w:rPr>
                <w:sz w:val="20"/>
              </w:rPr>
            </w:pPr>
            <w:r w:rsidRPr="00D82087">
              <w:rPr>
                <w:sz w:val="20"/>
              </w:rPr>
              <w:t>Zagęszczenie warstwy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236" w:rsidRPr="00D82087" w:rsidRDefault="001F6236" w:rsidP="001F62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próbki</w:t>
            </w:r>
          </w:p>
        </w:tc>
      </w:tr>
      <w:tr w:rsidR="00272089" w:rsidRPr="00D82087" w:rsidTr="00551F48">
        <w:trPr>
          <w:trHeight w:val="446"/>
          <w:jc w:val="center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089" w:rsidRPr="00D82087" w:rsidRDefault="00272089" w:rsidP="00551F48">
            <w:pPr>
              <w:jc w:val="center"/>
              <w:rPr>
                <w:sz w:val="20"/>
              </w:rPr>
            </w:pPr>
            <w:r w:rsidRPr="00D82087">
              <w:rPr>
                <w:sz w:val="20"/>
              </w:rPr>
              <w:t>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1F48" w:rsidRPr="00D82087" w:rsidRDefault="00272089" w:rsidP="00551F48">
            <w:pPr>
              <w:jc w:val="center"/>
              <w:rPr>
                <w:sz w:val="20"/>
              </w:rPr>
            </w:pPr>
            <w:r w:rsidRPr="00D82087">
              <w:rPr>
                <w:sz w:val="20"/>
              </w:rPr>
              <w:t xml:space="preserve">Badanie </w:t>
            </w:r>
            <w:r w:rsidR="00551F48" w:rsidRPr="00D82087">
              <w:rPr>
                <w:sz w:val="20"/>
              </w:rPr>
              <w:t xml:space="preserve">właściwości kruszywa wg </w:t>
            </w:r>
            <w:r w:rsidR="001F6236">
              <w:rPr>
                <w:sz w:val="20"/>
              </w:rPr>
              <w:t>Tab.</w:t>
            </w:r>
            <w:r w:rsidR="00551F48" w:rsidRPr="00D82087">
              <w:rPr>
                <w:sz w:val="20"/>
              </w:rPr>
              <w:t>1,</w:t>
            </w:r>
          </w:p>
          <w:p w:rsidR="00272089" w:rsidRPr="00D82087" w:rsidRDefault="00272089" w:rsidP="00551F48">
            <w:pPr>
              <w:jc w:val="center"/>
              <w:rPr>
                <w:sz w:val="20"/>
              </w:rPr>
            </w:pPr>
            <w:proofErr w:type="gramStart"/>
            <w:r w:rsidRPr="00D82087">
              <w:rPr>
                <w:sz w:val="20"/>
              </w:rPr>
              <w:t>pkt</w:t>
            </w:r>
            <w:proofErr w:type="gramEnd"/>
            <w:r w:rsidR="00551F48" w:rsidRPr="00D82087">
              <w:rPr>
                <w:sz w:val="20"/>
              </w:rPr>
              <w:t>.</w:t>
            </w:r>
            <w:r w:rsidRPr="00D82087">
              <w:rPr>
                <w:sz w:val="20"/>
              </w:rPr>
              <w:t xml:space="preserve"> 2.3.2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089" w:rsidRPr="00D82087" w:rsidRDefault="00272089" w:rsidP="00551F48">
            <w:pPr>
              <w:jc w:val="center"/>
              <w:rPr>
                <w:sz w:val="20"/>
              </w:rPr>
            </w:pPr>
            <w:proofErr w:type="gramStart"/>
            <w:r w:rsidRPr="00D82087">
              <w:rPr>
                <w:sz w:val="20"/>
              </w:rPr>
              <w:t>dla</w:t>
            </w:r>
            <w:proofErr w:type="gramEnd"/>
            <w:r w:rsidRPr="00D82087">
              <w:rPr>
                <w:sz w:val="20"/>
              </w:rPr>
              <w:t xml:space="preserve"> każdej partii kruszywa i przy każdej zmianie kruszywa</w:t>
            </w:r>
          </w:p>
        </w:tc>
      </w:tr>
    </w:tbl>
    <w:p w:rsidR="00272089" w:rsidRPr="00D82087" w:rsidRDefault="00272089" w:rsidP="00D82087">
      <w:pPr>
        <w:pStyle w:val="Nagwek3"/>
        <w:spacing w:before="180"/>
        <w:rPr>
          <w:sz w:val="20"/>
          <w:szCs w:val="20"/>
        </w:rPr>
      </w:pPr>
      <w:r w:rsidRPr="00D82087">
        <w:rPr>
          <w:sz w:val="20"/>
          <w:szCs w:val="20"/>
        </w:rPr>
        <w:lastRenderedPageBreak/>
        <w:t>Uziarnienie mieszanki</w:t>
      </w:r>
    </w:p>
    <w:p w:rsidR="00272089" w:rsidRPr="00D82087" w:rsidRDefault="00551F48" w:rsidP="00272089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>Uziarnienie mieszanki powinno być zgodne z wymaganiami podanymi w pkt</w:t>
      </w:r>
      <w:r w:rsidRPr="00D82087">
        <w:rPr>
          <w:sz w:val="20"/>
          <w:szCs w:val="20"/>
        </w:rPr>
        <w:t>.</w:t>
      </w:r>
      <w:r w:rsidR="00272089" w:rsidRPr="00D82087">
        <w:rPr>
          <w:sz w:val="20"/>
          <w:szCs w:val="20"/>
        </w:rPr>
        <w:t xml:space="preserve"> 2.</w:t>
      </w:r>
      <w:r w:rsidR="001F6236">
        <w:rPr>
          <w:sz w:val="20"/>
          <w:szCs w:val="20"/>
        </w:rPr>
        <w:t>3</w:t>
      </w:r>
      <w:r w:rsidR="00272089" w:rsidRPr="00D82087">
        <w:rPr>
          <w:sz w:val="20"/>
          <w:szCs w:val="20"/>
        </w:rPr>
        <w:t>. Próbki należy pobierać w</w:t>
      </w:r>
      <w:r w:rsidR="00D82087">
        <w:rPr>
          <w:sz w:val="20"/>
          <w:szCs w:val="20"/>
        </w:rPr>
        <w:t> </w:t>
      </w:r>
      <w:r w:rsidR="00272089" w:rsidRPr="00D82087">
        <w:rPr>
          <w:sz w:val="20"/>
          <w:szCs w:val="20"/>
        </w:rPr>
        <w:t>sposób losowy, z rozłożonej warstwy, przed jej zagęszczeniem. Wyniki badań powinny być na bieżąco przekazywane Inżynierowi.</w:t>
      </w:r>
    </w:p>
    <w:p w:rsidR="00272089" w:rsidRPr="00D82087" w:rsidRDefault="00272089" w:rsidP="00551F48">
      <w:pPr>
        <w:pStyle w:val="Nagwek3"/>
        <w:rPr>
          <w:sz w:val="20"/>
          <w:szCs w:val="20"/>
        </w:rPr>
      </w:pPr>
      <w:r w:rsidRPr="00D82087">
        <w:rPr>
          <w:sz w:val="20"/>
          <w:szCs w:val="20"/>
        </w:rPr>
        <w:t xml:space="preserve">Wilgotność mieszanki </w:t>
      </w:r>
    </w:p>
    <w:p w:rsidR="00272089" w:rsidRPr="00D82087" w:rsidRDefault="00551F48" w:rsidP="00272089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>Zawartość wody w mieszankach powinna odpowiadać wymaganej zawartości wody w trakcie wbudowywania i</w:t>
      </w:r>
      <w:r w:rsidR="00D82087">
        <w:rPr>
          <w:sz w:val="20"/>
          <w:szCs w:val="20"/>
        </w:rPr>
        <w:t> </w:t>
      </w:r>
      <w:r w:rsidR="00272089" w:rsidRPr="00D82087">
        <w:rPr>
          <w:sz w:val="20"/>
          <w:szCs w:val="20"/>
        </w:rPr>
        <w:t>zagęszczania określonej według PN-EN 13</w:t>
      </w:r>
      <w:r w:rsidRPr="00D82087">
        <w:rPr>
          <w:sz w:val="20"/>
          <w:szCs w:val="20"/>
        </w:rPr>
        <w:t>286-2</w:t>
      </w:r>
      <w:r w:rsidR="00D82087">
        <w:rPr>
          <w:sz w:val="20"/>
          <w:szCs w:val="20"/>
        </w:rPr>
        <w:t xml:space="preserve"> [19]</w:t>
      </w:r>
      <w:r w:rsidRPr="00D82087">
        <w:rPr>
          <w:sz w:val="20"/>
          <w:szCs w:val="20"/>
        </w:rPr>
        <w:t>, w granicach podanych w Tab.</w:t>
      </w:r>
      <w:r w:rsidR="00272089" w:rsidRPr="00D82087">
        <w:rPr>
          <w:sz w:val="20"/>
          <w:szCs w:val="20"/>
        </w:rPr>
        <w:t>1.</w:t>
      </w:r>
    </w:p>
    <w:p w:rsidR="00272089" w:rsidRPr="00D82087" w:rsidRDefault="00272089" w:rsidP="00551F48">
      <w:pPr>
        <w:pStyle w:val="Nagwek3"/>
        <w:rPr>
          <w:sz w:val="20"/>
          <w:szCs w:val="20"/>
        </w:rPr>
      </w:pPr>
      <w:r w:rsidRPr="00D82087">
        <w:rPr>
          <w:sz w:val="20"/>
          <w:szCs w:val="20"/>
        </w:rPr>
        <w:t xml:space="preserve">Zagęszczenie </w:t>
      </w:r>
      <w:r w:rsidR="001F6236">
        <w:rPr>
          <w:sz w:val="20"/>
          <w:szCs w:val="20"/>
        </w:rPr>
        <w:t>nawierzchni</w:t>
      </w:r>
    </w:p>
    <w:p w:rsidR="001F6236" w:rsidRDefault="00551F48" w:rsidP="00165E1D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>Zagęszczenie każdej warstwy powinno odbywać się aż do osiągnięcia wymaganego wskaźnika zagęszczenia wg normy BN-77/8931-12</w:t>
      </w:r>
      <w:r w:rsidR="00D82087">
        <w:rPr>
          <w:sz w:val="20"/>
          <w:szCs w:val="20"/>
        </w:rPr>
        <w:t xml:space="preserve"> [7]</w:t>
      </w:r>
      <w:r w:rsidR="00165E1D" w:rsidRPr="00D82087">
        <w:rPr>
          <w:sz w:val="20"/>
          <w:szCs w:val="20"/>
        </w:rPr>
        <w:t xml:space="preserve"> </w:t>
      </w:r>
      <w:r w:rsidRPr="00D82087">
        <w:rPr>
          <w:sz w:val="20"/>
          <w:szCs w:val="20"/>
        </w:rPr>
        <w:t>lu</w:t>
      </w:r>
      <w:r w:rsidR="00165E1D" w:rsidRPr="00D82087">
        <w:rPr>
          <w:sz w:val="20"/>
          <w:szCs w:val="20"/>
        </w:rPr>
        <w:t xml:space="preserve">b określić z badań metodą płyty </w:t>
      </w:r>
      <w:r w:rsidRPr="00D82087">
        <w:rPr>
          <w:sz w:val="20"/>
          <w:szCs w:val="20"/>
        </w:rPr>
        <w:t>dynamicznej Ø300 mm zgodnie z PN-S-02205</w:t>
      </w:r>
      <w:r w:rsidR="00D82087">
        <w:rPr>
          <w:sz w:val="20"/>
          <w:szCs w:val="20"/>
        </w:rPr>
        <w:t xml:space="preserve"> [24]</w:t>
      </w:r>
      <w:r w:rsidR="001F6236">
        <w:rPr>
          <w:sz w:val="20"/>
          <w:szCs w:val="20"/>
        </w:rPr>
        <w:t>.</w:t>
      </w:r>
    </w:p>
    <w:p w:rsidR="001F6236" w:rsidRDefault="001F6236" w:rsidP="001F6236">
      <w:r>
        <w:tab/>
        <w:t xml:space="preserve">W przypadku, gdy przeprowadzenie badania jest niemożliwe ze względu na gruboziarniste kruszywo, kontrolę zagęszczenia należy oprzeć na metodzie obciążeń płytowych, wg </w:t>
      </w:r>
      <w:r w:rsidRPr="002F2638">
        <w:t>BN-64/8931-02</w:t>
      </w:r>
      <w:r>
        <w:t xml:space="preserve"> [</w:t>
      </w:r>
      <w:r w:rsidR="002F2638">
        <w:t>32</w:t>
      </w:r>
      <w:r>
        <w:t>] i nie rzadziej niż dwie próbki, lub według zaleceń Inżyniera.</w:t>
      </w:r>
    </w:p>
    <w:p w:rsidR="00272089" w:rsidRPr="00D82087" w:rsidRDefault="001F6236" w:rsidP="00165E1D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551F48" w:rsidRPr="00D82087">
        <w:rPr>
          <w:sz w:val="20"/>
          <w:szCs w:val="20"/>
        </w:rPr>
        <w:t xml:space="preserve">Zagęszczenie </w:t>
      </w:r>
      <w:r w:rsidR="002F2638">
        <w:rPr>
          <w:sz w:val="20"/>
          <w:szCs w:val="20"/>
        </w:rPr>
        <w:t>nawierzchni</w:t>
      </w:r>
      <w:r w:rsidR="00551F48" w:rsidRPr="00D82087">
        <w:rPr>
          <w:sz w:val="20"/>
          <w:szCs w:val="20"/>
        </w:rPr>
        <w:t xml:space="preserve"> sta</w:t>
      </w:r>
      <w:r w:rsidR="00165E1D" w:rsidRPr="00D82087">
        <w:rPr>
          <w:sz w:val="20"/>
          <w:szCs w:val="20"/>
        </w:rPr>
        <w:t xml:space="preserve">bilizowanej mechanicznie należy </w:t>
      </w:r>
      <w:r w:rsidR="00551F48" w:rsidRPr="00D82087">
        <w:rPr>
          <w:sz w:val="20"/>
          <w:szCs w:val="20"/>
        </w:rPr>
        <w:t xml:space="preserve">uznać za prawidłowe, gdy stosunek wtórnego modułu </w:t>
      </w:r>
      <w:r w:rsidR="00551F48" w:rsidRPr="00D82087">
        <w:rPr>
          <w:iCs/>
          <w:sz w:val="20"/>
          <w:szCs w:val="20"/>
        </w:rPr>
        <w:t>E</w:t>
      </w:r>
      <w:r w:rsidR="00551F48" w:rsidRPr="00D82087">
        <w:rPr>
          <w:sz w:val="20"/>
          <w:szCs w:val="20"/>
        </w:rPr>
        <w:t xml:space="preserve">2 do pierwotnego modułu odkształcenia </w:t>
      </w:r>
      <w:r w:rsidR="00551F48" w:rsidRPr="00D82087">
        <w:rPr>
          <w:iCs/>
          <w:sz w:val="20"/>
          <w:szCs w:val="20"/>
        </w:rPr>
        <w:t>E</w:t>
      </w:r>
      <w:r w:rsidR="00551F48" w:rsidRPr="00D82087">
        <w:rPr>
          <w:sz w:val="20"/>
          <w:szCs w:val="20"/>
        </w:rPr>
        <w:t xml:space="preserve">1 jest nie większy od 2,2 dla każdej warstwy konstrukcyjnej </w:t>
      </w:r>
      <w:r>
        <w:rPr>
          <w:sz w:val="20"/>
          <w:szCs w:val="20"/>
        </w:rPr>
        <w:t>nawierzchni</w:t>
      </w:r>
    </w:p>
    <w:p w:rsidR="00272089" w:rsidRPr="00D82087" w:rsidRDefault="00272089" w:rsidP="00165E1D">
      <w:pPr>
        <w:pStyle w:val="Nagwek3"/>
        <w:rPr>
          <w:sz w:val="20"/>
          <w:szCs w:val="20"/>
        </w:rPr>
      </w:pPr>
      <w:r w:rsidRPr="00D82087">
        <w:rPr>
          <w:sz w:val="20"/>
          <w:szCs w:val="20"/>
        </w:rPr>
        <w:t>Właściwości kruszywa</w:t>
      </w:r>
    </w:p>
    <w:p w:rsidR="00272089" w:rsidRPr="00D82087" w:rsidRDefault="00165E1D" w:rsidP="00272089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>Badania kruszywa powinny obejmować ocenę wszystkich właściwości określonych w pkt</w:t>
      </w:r>
      <w:r w:rsidRPr="00D82087">
        <w:rPr>
          <w:sz w:val="20"/>
          <w:szCs w:val="20"/>
        </w:rPr>
        <w:t>.</w:t>
      </w:r>
      <w:r w:rsidR="00272089" w:rsidRPr="00D82087">
        <w:rPr>
          <w:sz w:val="20"/>
          <w:szCs w:val="20"/>
        </w:rPr>
        <w:t xml:space="preserve"> 2.3.2.</w:t>
      </w:r>
    </w:p>
    <w:p w:rsidR="00272089" w:rsidRPr="00D82087" w:rsidRDefault="00165E1D" w:rsidP="00272089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>Próbki do badań pełnych powinny być pobierane przez Wykonawcę w sposób losowy w obecności Inżyniera.</w:t>
      </w:r>
    </w:p>
    <w:p w:rsidR="00272089" w:rsidRPr="00D82087" w:rsidRDefault="00272089" w:rsidP="00165E1D">
      <w:pPr>
        <w:pStyle w:val="Nagwek2"/>
        <w:rPr>
          <w:sz w:val="20"/>
          <w:szCs w:val="20"/>
        </w:rPr>
      </w:pPr>
      <w:r w:rsidRPr="00D82087">
        <w:rPr>
          <w:sz w:val="20"/>
          <w:szCs w:val="20"/>
        </w:rPr>
        <w:t xml:space="preserve">Wymagania dotyczące cech geometrycznych </w:t>
      </w:r>
      <w:r w:rsidR="002F2638">
        <w:rPr>
          <w:sz w:val="20"/>
          <w:szCs w:val="20"/>
        </w:rPr>
        <w:t>nawierzchni</w:t>
      </w:r>
    </w:p>
    <w:p w:rsidR="00272089" w:rsidRPr="00D82087" w:rsidRDefault="00272089" w:rsidP="00165E1D">
      <w:pPr>
        <w:pStyle w:val="Nagwek3"/>
        <w:rPr>
          <w:sz w:val="20"/>
          <w:szCs w:val="20"/>
        </w:rPr>
      </w:pPr>
      <w:r w:rsidRPr="00D82087">
        <w:rPr>
          <w:sz w:val="20"/>
          <w:szCs w:val="20"/>
        </w:rPr>
        <w:t>Częstotliwość oraz zakres pomiarów</w:t>
      </w:r>
    </w:p>
    <w:p w:rsidR="00272089" w:rsidRPr="00D82087" w:rsidRDefault="00165E1D" w:rsidP="00272089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 xml:space="preserve">Częstotliwość oraz zakres pomiarów dotyczących cech geometrycznych </w:t>
      </w:r>
      <w:r w:rsidR="002F2638">
        <w:rPr>
          <w:sz w:val="20"/>
          <w:szCs w:val="20"/>
        </w:rPr>
        <w:t>nawierzchni</w:t>
      </w:r>
      <w:r w:rsidR="00272089" w:rsidRPr="00D82087">
        <w:rPr>
          <w:sz w:val="20"/>
          <w:szCs w:val="20"/>
        </w:rPr>
        <w:t xml:space="preserve"> podano </w:t>
      </w:r>
      <w:r w:rsidRPr="00D82087">
        <w:rPr>
          <w:sz w:val="20"/>
          <w:szCs w:val="20"/>
        </w:rPr>
        <w:t>w Tab.4.</w:t>
      </w:r>
    </w:p>
    <w:p w:rsidR="00272089" w:rsidRPr="00D82087" w:rsidRDefault="00272089" w:rsidP="00165E1D">
      <w:pPr>
        <w:spacing w:before="120"/>
        <w:rPr>
          <w:sz w:val="20"/>
          <w:szCs w:val="20"/>
        </w:rPr>
      </w:pPr>
      <w:r w:rsidRPr="00D82087">
        <w:rPr>
          <w:sz w:val="20"/>
          <w:szCs w:val="20"/>
        </w:rPr>
        <w:t>Tab</w:t>
      </w:r>
      <w:r w:rsidR="00165E1D" w:rsidRPr="00D82087">
        <w:rPr>
          <w:sz w:val="20"/>
          <w:szCs w:val="20"/>
        </w:rPr>
        <w:t>.</w:t>
      </w:r>
      <w:r w:rsidRPr="00D82087">
        <w:rPr>
          <w:sz w:val="20"/>
          <w:szCs w:val="20"/>
        </w:rPr>
        <w:t xml:space="preserve">4. Częstotliwość oraz zakres pomiarów wykonanej </w:t>
      </w:r>
      <w:r w:rsidR="002F2638">
        <w:rPr>
          <w:sz w:val="20"/>
          <w:szCs w:val="20"/>
        </w:rPr>
        <w:t>nawierzchni</w:t>
      </w:r>
      <w:r w:rsidRPr="00D82087">
        <w:rPr>
          <w:sz w:val="20"/>
          <w:szCs w:val="20"/>
        </w:rPr>
        <w:t xml:space="preserve"> z kruszywa stabilizowanego mechanicznie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880"/>
        <w:gridCol w:w="5940"/>
      </w:tblGrid>
      <w:tr w:rsidR="00272089" w:rsidRPr="00D82087" w:rsidTr="00D82087">
        <w:tc>
          <w:tcPr>
            <w:tcW w:w="430" w:type="dxa"/>
            <w:tcBorders>
              <w:bottom w:val="double" w:sz="6" w:space="0" w:color="auto"/>
            </w:tcBorders>
            <w:vAlign w:val="center"/>
          </w:tcPr>
          <w:p w:rsidR="00272089" w:rsidRPr="00D82087" w:rsidRDefault="00272089" w:rsidP="00D82087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D82087">
              <w:rPr>
                <w:sz w:val="20"/>
                <w:szCs w:val="20"/>
              </w:rPr>
              <w:t>Lp.</w:t>
            </w:r>
          </w:p>
        </w:tc>
        <w:tc>
          <w:tcPr>
            <w:tcW w:w="2880" w:type="dxa"/>
            <w:tcBorders>
              <w:bottom w:val="double" w:sz="6" w:space="0" w:color="auto"/>
            </w:tcBorders>
            <w:vAlign w:val="center"/>
          </w:tcPr>
          <w:p w:rsidR="00272089" w:rsidRPr="00D82087" w:rsidRDefault="00272089" w:rsidP="00D82087">
            <w:pPr>
              <w:jc w:val="center"/>
              <w:rPr>
                <w:b/>
                <w:sz w:val="20"/>
                <w:szCs w:val="20"/>
              </w:rPr>
            </w:pPr>
            <w:r w:rsidRPr="00D82087">
              <w:rPr>
                <w:sz w:val="20"/>
                <w:szCs w:val="20"/>
              </w:rPr>
              <w:t>Wyszczególnienie badań i pomiarów</w:t>
            </w:r>
          </w:p>
        </w:tc>
        <w:tc>
          <w:tcPr>
            <w:tcW w:w="5940" w:type="dxa"/>
            <w:tcBorders>
              <w:bottom w:val="double" w:sz="6" w:space="0" w:color="auto"/>
            </w:tcBorders>
            <w:vAlign w:val="center"/>
          </w:tcPr>
          <w:p w:rsidR="00272089" w:rsidRPr="00D82087" w:rsidRDefault="00272089" w:rsidP="00D82087">
            <w:pPr>
              <w:jc w:val="center"/>
              <w:rPr>
                <w:b/>
                <w:sz w:val="20"/>
                <w:szCs w:val="20"/>
              </w:rPr>
            </w:pPr>
            <w:r w:rsidRPr="00D82087">
              <w:rPr>
                <w:sz w:val="20"/>
                <w:szCs w:val="20"/>
              </w:rPr>
              <w:t>Minimalna częstotliwość pomiarów</w:t>
            </w:r>
          </w:p>
        </w:tc>
      </w:tr>
      <w:tr w:rsidR="00272089" w:rsidRPr="00D82087" w:rsidTr="00DE0724">
        <w:tc>
          <w:tcPr>
            <w:tcW w:w="430" w:type="dxa"/>
            <w:tcBorders>
              <w:top w:val="nil"/>
            </w:tcBorders>
          </w:tcPr>
          <w:p w:rsidR="00272089" w:rsidRPr="00D82087" w:rsidRDefault="00272089" w:rsidP="00272089">
            <w:pPr>
              <w:rPr>
                <w:b/>
                <w:sz w:val="20"/>
                <w:szCs w:val="20"/>
              </w:rPr>
            </w:pPr>
            <w:r w:rsidRPr="00D82087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nil"/>
            </w:tcBorders>
          </w:tcPr>
          <w:p w:rsidR="00272089" w:rsidRPr="00D82087" w:rsidRDefault="00272089" w:rsidP="001F6236">
            <w:pPr>
              <w:rPr>
                <w:b/>
                <w:sz w:val="20"/>
                <w:szCs w:val="20"/>
              </w:rPr>
            </w:pPr>
            <w:r w:rsidRPr="00D82087">
              <w:rPr>
                <w:sz w:val="20"/>
                <w:szCs w:val="20"/>
              </w:rPr>
              <w:t>Szerokość</w:t>
            </w:r>
          </w:p>
        </w:tc>
        <w:tc>
          <w:tcPr>
            <w:tcW w:w="5940" w:type="dxa"/>
            <w:tcBorders>
              <w:top w:val="nil"/>
            </w:tcBorders>
          </w:tcPr>
          <w:p w:rsidR="00272089" w:rsidRPr="00D82087" w:rsidRDefault="00F5763F" w:rsidP="00F5763F">
            <w:pPr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 razy na 1 km</w:t>
            </w:r>
          </w:p>
        </w:tc>
      </w:tr>
      <w:tr w:rsidR="00272089" w:rsidRPr="00D82087" w:rsidTr="00DE0724">
        <w:trPr>
          <w:trHeight w:val="269"/>
        </w:trPr>
        <w:tc>
          <w:tcPr>
            <w:tcW w:w="430" w:type="dxa"/>
          </w:tcPr>
          <w:p w:rsidR="00272089" w:rsidRPr="00D82087" w:rsidRDefault="00272089" w:rsidP="00272089">
            <w:pPr>
              <w:rPr>
                <w:b/>
                <w:sz w:val="20"/>
                <w:szCs w:val="20"/>
              </w:rPr>
            </w:pPr>
            <w:r w:rsidRPr="00D82087">
              <w:rPr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:rsidR="00272089" w:rsidRPr="00D82087" w:rsidRDefault="00272089" w:rsidP="00272089">
            <w:pPr>
              <w:rPr>
                <w:b/>
                <w:sz w:val="20"/>
                <w:szCs w:val="20"/>
              </w:rPr>
            </w:pPr>
            <w:r w:rsidRPr="00D82087">
              <w:rPr>
                <w:sz w:val="20"/>
                <w:szCs w:val="20"/>
              </w:rPr>
              <w:t>Równość podłużna</w:t>
            </w:r>
          </w:p>
        </w:tc>
        <w:tc>
          <w:tcPr>
            <w:tcW w:w="5940" w:type="dxa"/>
          </w:tcPr>
          <w:p w:rsidR="00272089" w:rsidRPr="00D82087" w:rsidRDefault="00F5763F" w:rsidP="00F5763F">
            <w:pPr>
              <w:jc w:val="left"/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co</w:t>
            </w:r>
            <w:proofErr w:type="gramEnd"/>
            <w:r>
              <w:rPr>
                <w:sz w:val="20"/>
                <w:szCs w:val="20"/>
              </w:rPr>
              <w:t xml:space="preserve"> 20 m na każdym pasie ruchu</w:t>
            </w:r>
          </w:p>
        </w:tc>
      </w:tr>
      <w:tr w:rsidR="00272089" w:rsidRPr="00D82087" w:rsidTr="00DE0724">
        <w:tc>
          <w:tcPr>
            <w:tcW w:w="430" w:type="dxa"/>
          </w:tcPr>
          <w:p w:rsidR="00272089" w:rsidRPr="00D82087" w:rsidRDefault="00272089" w:rsidP="00272089">
            <w:pPr>
              <w:rPr>
                <w:b/>
                <w:sz w:val="20"/>
                <w:szCs w:val="20"/>
              </w:rPr>
            </w:pPr>
            <w:r w:rsidRPr="00D82087">
              <w:rPr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272089" w:rsidRPr="00D82087" w:rsidRDefault="00272089" w:rsidP="00272089">
            <w:pPr>
              <w:rPr>
                <w:b/>
                <w:sz w:val="20"/>
                <w:szCs w:val="20"/>
              </w:rPr>
            </w:pPr>
            <w:r w:rsidRPr="00D82087">
              <w:rPr>
                <w:sz w:val="20"/>
                <w:szCs w:val="20"/>
              </w:rPr>
              <w:t>Równość poprzeczna</w:t>
            </w:r>
          </w:p>
        </w:tc>
        <w:tc>
          <w:tcPr>
            <w:tcW w:w="5940" w:type="dxa"/>
          </w:tcPr>
          <w:p w:rsidR="00272089" w:rsidRPr="00D82087" w:rsidRDefault="00F5763F" w:rsidP="00F5763F">
            <w:pPr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 razy na 1 km</w:t>
            </w:r>
          </w:p>
        </w:tc>
      </w:tr>
      <w:tr w:rsidR="00272089" w:rsidRPr="00D82087" w:rsidTr="00DE0724">
        <w:tc>
          <w:tcPr>
            <w:tcW w:w="430" w:type="dxa"/>
          </w:tcPr>
          <w:p w:rsidR="00272089" w:rsidRPr="00D82087" w:rsidRDefault="00272089" w:rsidP="00272089">
            <w:pPr>
              <w:rPr>
                <w:b/>
                <w:sz w:val="20"/>
                <w:szCs w:val="20"/>
              </w:rPr>
            </w:pPr>
            <w:r w:rsidRPr="00D82087">
              <w:rPr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272089" w:rsidRPr="00F5763F" w:rsidRDefault="00272089" w:rsidP="001F6236">
            <w:pPr>
              <w:rPr>
                <w:b/>
                <w:sz w:val="20"/>
                <w:szCs w:val="20"/>
              </w:rPr>
            </w:pPr>
            <w:r w:rsidRPr="00D82087">
              <w:rPr>
                <w:sz w:val="20"/>
                <w:szCs w:val="20"/>
              </w:rPr>
              <w:t>Spadki poprzeczne</w:t>
            </w:r>
            <w:r w:rsidR="00F5763F">
              <w:rPr>
                <w:sz w:val="20"/>
                <w:szCs w:val="20"/>
              </w:rPr>
              <w:t xml:space="preserve"> </w:t>
            </w:r>
            <w:r w:rsidR="00F5763F">
              <w:rPr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940" w:type="dxa"/>
            <w:tcBorders>
              <w:bottom w:val="nil"/>
            </w:tcBorders>
          </w:tcPr>
          <w:p w:rsidR="00272089" w:rsidRPr="00D82087" w:rsidRDefault="00F5763F" w:rsidP="00F5763F">
            <w:pPr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 razy na 1 km</w:t>
            </w:r>
          </w:p>
        </w:tc>
      </w:tr>
      <w:tr w:rsidR="00272089" w:rsidRPr="00D82087" w:rsidTr="00D82087">
        <w:tc>
          <w:tcPr>
            <w:tcW w:w="430" w:type="dxa"/>
          </w:tcPr>
          <w:p w:rsidR="00272089" w:rsidRPr="00D82087" w:rsidRDefault="00272089" w:rsidP="00272089">
            <w:pPr>
              <w:rPr>
                <w:b/>
                <w:sz w:val="20"/>
                <w:szCs w:val="20"/>
              </w:rPr>
            </w:pPr>
            <w:r w:rsidRPr="00D82087">
              <w:rPr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:rsidR="00272089" w:rsidRPr="00D82087" w:rsidRDefault="00272089" w:rsidP="00272089">
            <w:pPr>
              <w:rPr>
                <w:b/>
                <w:sz w:val="20"/>
                <w:szCs w:val="20"/>
              </w:rPr>
            </w:pPr>
            <w:r w:rsidRPr="00D82087">
              <w:rPr>
                <w:sz w:val="20"/>
                <w:szCs w:val="20"/>
              </w:rPr>
              <w:t>Rzędne wysokościowe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272089" w:rsidRPr="00D82087" w:rsidRDefault="00F5763F" w:rsidP="00F5763F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co</w:t>
            </w:r>
            <w:proofErr w:type="gramEnd"/>
            <w:r>
              <w:rPr>
                <w:sz w:val="20"/>
                <w:szCs w:val="20"/>
              </w:rPr>
              <w:t xml:space="preserve"> 100 m i w charakterystycznych punktach niwelety</w:t>
            </w:r>
          </w:p>
        </w:tc>
      </w:tr>
      <w:tr w:rsidR="00F5763F" w:rsidRPr="00D82087" w:rsidTr="00D82087">
        <w:tc>
          <w:tcPr>
            <w:tcW w:w="430" w:type="dxa"/>
          </w:tcPr>
          <w:p w:rsidR="00F5763F" w:rsidRPr="00D82087" w:rsidRDefault="00F5763F" w:rsidP="002720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80" w:type="dxa"/>
          </w:tcPr>
          <w:p w:rsidR="00F5763F" w:rsidRPr="00F5763F" w:rsidRDefault="00F5763F" w:rsidP="00272089">
            <w:pPr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Ukształtowanie osi w planie </w:t>
            </w:r>
            <w:r>
              <w:rPr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F5763F" w:rsidRDefault="00F5763F" w:rsidP="00F5763F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co</w:t>
            </w:r>
            <w:proofErr w:type="gramEnd"/>
            <w:r>
              <w:rPr>
                <w:sz w:val="20"/>
                <w:szCs w:val="20"/>
              </w:rPr>
              <w:t xml:space="preserve"> 100 m</w:t>
            </w:r>
          </w:p>
        </w:tc>
      </w:tr>
      <w:tr w:rsidR="00272089" w:rsidRPr="00D82087" w:rsidTr="00F5763F">
        <w:tc>
          <w:tcPr>
            <w:tcW w:w="430" w:type="dxa"/>
          </w:tcPr>
          <w:p w:rsidR="00272089" w:rsidRPr="00D82087" w:rsidRDefault="00F5763F" w:rsidP="0027208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880" w:type="dxa"/>
          </w:tcPr>
          <w:p w:rsidR="00272089" w:rsidRPr="00D82087" w:rsidRDefault="001F6236" w:rsidP="001F623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Grubość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:rsidR="00272089" w:rsidRDefault="00F5763F" w:rsidP="00F5763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Podczas budowy: w trzech punktach na każdej działce roboczej, lecz nie rzadziej niż raz na 400 m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  <w:p w:rsidR="00F5763F" w:rsidRPr="00F5763F" w:rsidRDefault="00F5763F" w:rsidP="00F5763F">
            <w:pPr>
              <w:jc w:val="left"/>
              <w:rPr>
                <w:b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Przed odbiorem: w trzech punktach, lecz nie rzadziej niż raz na 2000 m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5763F" w:rsidRPr="00D82087" w:rsidTr="00E46364">
        <w:tc>
          <w:tcPr>
            <w:tcW w:w="9250" w:type="dxa"/>
            <w:gridSpan w:val="3"/>
          </w:tcPr>
          <w:p w:rsidR="00F5763F" w:rsidRDefault="00F5763F" w:rsidP="00F5763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*) Dodatkowe pomiary spadków poprzecznych i ukształtowania osi w planie należy wykonać w punktach głównych łuków poziomych: na początku krzywej przejściowej oraz na początku, w środku i na końcu każdego łuku poziomego</w:t>
            </w:r>
          </w:p>
        </w:tc>
      </w:tr>
    </w:tbl>
    <w:p w:rsidR="00272089" w:rsidRPr="00D82087" w:rsidRDefault="00272089" w:rsidP="0054547B">
      <w:pPr>
        <w:pStyle w:val="Nagwek3"/>
        <w:spacing w:before="120"/>
        <w:rPr>
          <w:sz w:val="20"/>
          <w:szCs w:val="20"/>
        </w:rPr>
      </w:pPr>
      <w:r w:rsidRPr="00D82087">
        <w:rPr>
          <w:sz w:val="20"/>
          <w:szCs w:val="20"/>
        </w:rPr>
        <w:lastRenderedPageBreak/>
        <w:t>Szerokość</w:t>
      </w:r>
      <w:r w:rsidR="001F6236">
        <w:rPr>
          <w:sz w:val="20"/>
          <w:szCs w:val="20"/>
        </w:rPr>
        <w:t xml:space="preserve"> nawierzchni</w:t>
      </w:r>
    </w:p>
    <w:p w:rsidR="001F6236" w:rsidRDefault="001F6236" w:rsidP="001F6236">
      <w:r>
        <w:tab/>
        <w:t>Szerokość nawierzchni nie może różnić się od szerokości projektowanej o więcej niż +10 cm, -5 cm.</w:t>
      </w:r>
    </w:p>
    <w:p w:rsidR="00272089" w:rsidRPr="00D82087" w:rsidRDefault="00272089" w:rsidP="001F6236">
      <w:pPr>
        <w:pStyle w:val="Nagwek3"/>
        <w:spacing w:before="120"/>
        <w:rPr>
          <w:sz w:val="20"/>
          <w:szCs w:val="20"/>
        </w:rPr>
      </w:pPr>
      <w:r w:rsidRPr="00D82087">
        <w:rPr>
          <w:sz w:val="20"/>
          <w:szCs w:val="20"/>
        </w:rPr>
        <w:t xml:space="preserve">Równość </w:t>
      </w:r>
      <w:r w:rsidR="001F6236">
        <w:rPr>
          <w:sz w:val="20"/>
          <w:szCs w:val="20"/>
        </w:rPr>
        <w:t>nawierzchni</w:t>
      </w:r>
    </w:p>
    <w:p w:rsidR="00272089" w:rsidRPr="00D82087" w:rsidRDefault="0054547B" w:rsidP="00266E7D">
      <w:pPr>
        <w:spacing w:before="60"/>
        <w:rPr>
          <w:sz w:val="19"/>
          <w:szCs w:val="19"/>
        </w:rPr>
      </w:pPr>
      <w:r w:rsidRPr="00D82087">
        <w:rPr>
          <w:sz w:val="19"/>
          <w:szCs w:val="19"/>
        </w:rPr>
        <w:tab/>
      </w:r>
      <w:r w:rsidR="00272089" w:rsidRPr="00D82087">
        <w:rPr>
          <w:sz w:val="19"/>
          <w:szCs w:val="19"/>
        </w:rPr>
        <w:t xml:space="preserve">Nierówności podłużne </w:t>
      </w:r>
      <w:r w:rsidR="001F6236">
        <w:rPr>
          <w:sz w:val="19"/>
          <w:szCs w:val="19"/>
        </w:rPr>
        <w:t>nawierzchni</w:t>
      </w:r>
      <w:r w:rsidR="00272089" w:rsidRPr="00D82087">
        <w:rPr>
          <w:sz w:val="19"/>
          <w:szCs w:val="19"/>
        </w:rPr>
        <w:t xml:space="preserve"> należy mierzyć 4-metrową łatą lub </w:t>
      </w:r>
      <w:proofErr w:type="spellStart"/>
      <w:r w:rsidR="00272089" w:rsidRPr="00D82087">
        <w:rPr>
          <w:sz w:val="19"/>
          <w:szCs w:val="19"/>
        </w:rPr>
        <w:t>planografem</w:t>
      </w:r>
      <w:proofErr w:type="spellEnd"/>
      <w:r w:rsidR="00272089" w:rsidRPr="00D82087">
        <w:rPr>
          <w:sz w:val="19"/>
          <w:szCs w:val="19"/>
        </w:rPr>
        <w:t>, zgodnie z</w:t>
      </w:r>
      <w:r w:rsidRPr="00D82087">
        <w:rPr>
          <w:sz w:val="19"/>
          <w:szCs w:val="19"/>
        </w:rPr>
        <w:t> </w:t>
      </w:r>
      <w:r w:rsidR="00272089" w:rsidRPr="00D82087">
        <w:rPr>
          <w:sz w:val="19"/>
          <w:szCs w:val="19"/>
        </w:rPr>
        <w:t>BN68/8931-04</w:t>
      </w:r>
      <w:r w:rsidR="00D82087" w:rsidRPr="00D82087">
        <w:rPr>
          <w:sz w:val="19"/>
          <w:szCs w:val="19"/>
        </w:rPr>
        <w:t xml:space="preserve"> [5].</w:t>
      </w:r>
    </w:p>
    <w:p w:rsidR="00272089" w:rsidRPr="00D82087" w:rsidRDefault="0054547B" w:rsidP="00266E7D">
      <w:pPr>
        <w:spacing w:before="60"/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 xml:space="preserve">Nierówności poprzeczne </w:t>
      </w:r>
      <w:r w:rsidR="001F6236">
        <w:rPr>
          <w:sz w:val="20"/>
          <w:szCs w:val="20"/>
        </w:rPr>
        <w:t>nawierzchni</w:t>
      </w:r>
      <w:r w:rsidR="00272089" w:rsidRPr="00D82087">
        <w:rPr>
          <w:sz w:val="20"/>
          <w:szCs w:val="20"/>
        </w:rPr>
        <w:t xml:space="preserve"> należy mierzyć łatą</w:t>
      </w:r>
      <w:r w:rsidRPr="00D82087">
        <w:rPr>
          <w:sz w:val="20"/>
          <w:szCs w:val="20"/>
        </w:rPr>
        <w:t xml:space="preserve"> o długości dostosowanej do badanej nawierzchni</w:t>
      </w:r>
      <w:r w:rsidR="00272089" w:rsidRPr="00D82087">
        <w:rPr>
          <w:sz w:val="20"/>
          <w:szCs w:val="20"/>
        </w:rPr>
        <w:t xml:space="preserve">. </w:t>
      </w:r>
    </w:p>
    <w:p w:rsidR="00272089" w:rsidRPr="001F6236" w:rsidRDefault="0054547B" w:rsidP="001F6236">
      <w:pPr>
        <w:spacing w:before="60"/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 xml:space="preserve">Nierówności </w:t>
      </w:r>
      <w:r w:rsidR="001F6236">
        <w:rPr>
          <w:sz w:val="20"/>
          <w:szCs w:val="20"/>
        </w:rPr>
        <w:t xml:space="preserve">nawierzchni nie mogą przekraczać </w:t>
      </w:r>
      <w:r w:rsidRPr="001F6236">
        <w:rPr>
          <w:sz w:val="20"/>
          <w:szCs w:val="20"/>
        </w:rPr>
        <w:t>10 mm</w:t>
      </w:r>
      <w:r w:rsidR="001F6236" w:rsidRPr="001F6236">
        <w:rPr>
          <w:sz w:val="20"/>
          <w:szCs w:val="20"/>
        </w:rPr>
        <w:t>.</w:t>
      </w:r>
    </w:p>
    <w:p w:rsidR="00272089" w:rsidRPr="00D82087" w:rsidRDefault="00272089" w:rsidP="001F6236">
      <w:pPr>
        <w:pStyle w:val="Nagwek3"/>
        <w:spacing w:before="120"/>
        <w:rPr>
          <w:sz w:val="20"/>
          <w:szCs w:val="20"/>
        </w:rPr>
      </w:pPr>
      <w:r w:rsidRPr="00D82087">
        <w:rPr>
          <w:sz w:val="20"/>
          <w:szCs w:val="20"/>
        </w:rPr>
        <w:t xml:space="preserve">Spadki poprzeczne </w:t>
      </w:r>
      <w:r w:rsidR="001F6236">
        <w:rPr>
          <w:sz w:val="20"/>
          <w:szCs w:val="20"/>
        </w:rPr>
        <w:t>nawierzchni</w:t>
      </w:r>
    </w:p>
    <w:p w:rsidR="00272089" w:rsidRPr="00D82087" w:rsidRDefault="0054547B" w:rsidP="00272089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 xml:space="preserve">Spadki poprzeczne </w:t>
      </w:r>
      <w:r w:rsidR="001F6236">
        <w:rPr>
          <w:sz w:val="20"/>
          <w:szCs w:val="20"/>
        </w:rPr>
        <w:t>nawierzchni</w:t>
      </w:r>
      <w:r w:rsidR="00272089" w:rsidRPr="00D82087">
        <w:rPr>
          <w:sz w:val="20"/>
          <w:szCs w:val="20"/>
        </w:rPr>
        <w:t xml:space="preserve"> na prostych i łukach powinny być zgodne z </w:t>
      </w:r>
      <w:r w:rsidRPr="00D82087">
        <w:rPr>
          <w:sz w:val="20"/>
          <w:szCs w:val="20"/>
        </w:rPr>
        <w:t>D</w:t>
      </w:r>
      <w:r w:rsidR="00272089" w:rsidRPr="00D82087">
        <w:rPr>
          <w:sz w:val="20"/>
          <w:szCs w:val="20"/>
        </w:rPr>
        <w:t xml:space="preserve">okumentacją </w:t>
      </w:r>
      <w:r w:rsidRPr="00D82087">
        <w:rPr>
          <w:sz w:val="20"/>
          <w:szCs w:val="20"/>
        </w:rPr>
        <w:t>P</w:t>
      </w:r>
      <w:r w:rsidR="00D82087">
        <w:rPr>
          <w:sz w:val="20"/>
          <w:szCs w:val="20"/>
        </w:rPr>
        <w:t xml:space="preserve">rojektową, </w:t>
      </w:r>
      <w:r w:rsidR="00272089" w:rsidRPr="00D82087">
        <w:rPr>
          <w:sz w:val="20"/>
          <w:szCs w:val="20"/>
        </w:rPr>
        <w:t>z</w:t>
      </w:r>
      <w:r w:rsidR="00D82087">
        <w:rPr>
          <w:sz w:val="20"/>
          <w:szCs w:val="20"/>
        </w:rPr>
        <w:t> </w:t>
      </w:r>
      <w:r w:rsidR="00272089" w:rsidRPr="00D82087">
        <w:rPr>
          <w:sz w:val="20"/>
          <w:szCs w:val="20"/>
        </w:rPr>
        <w:t xml:space="preserve">tolerancją </w:t>
      </w:r>
      <w:r w:rsidR="00272089" w:rsidRPr="00D82087">
        <w:rPr>
          <w:sz w:val="20"/>
          <w:szCs w:val="20"/>
          <w:u w:val="single"/>
        </w:rPr>
        <w:t>+</w:t>
      </w:r>
      <w:r w:rsidR="00272089" w:rsidRPr="00D82087">
        <w:rPr>
          <w:sz w:val="20"/>
          <w:szCs w:val="20"/>
        </w:rPr>
        <w:t xml:space="preserve"> 0,5 %.</w:t>
      </w:r>
    </w:p>
    <w:p w:rsidR="00272089" w:rsidRPr="00D82087" w:rsidRDefault="00272089" w:rsidP="0054547B">
      <w:pPr>
        <w:pStyle w:val="Nagwek3"/>
        <w:rPr>
          <w:sz w:val="20"/>
          <w:szCs w:val="20"/>
        </w:rPr>
      </w:pPr>
      <w:r w:rsidRPr="00D82087">
        <w:rPr>
          <w:sz w:val="20"/>
          <w:szCs w:val="20"/>
        </w:rPr>
        <w:t>Rzędne wysokościowe</w:t>
      </w:r>
      <w:r w:rsidR="001F6236">
        <w:rPr>
          <w:sz w:val="20"/>
          <w:szCs w:val="20"/>
        </w:rPr>
        <w:t xml:space="preserve"> nawierzchni</w:t>
      </w:r>
    </w:p>
    <w:p w:rsidR="00F5763F" w:rsidRDefault="0054547B" w:rsidP="00272089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 xml:space="preserve">Różnice pomiędzy rzędnymi wysokościowymi </w:t>
      </w:r>
      <w:r w:rsidR="001F6236">
        <w:rPr>
          <w:sz w:val="20"/>
          <w:szCs w:val="20"/>
        </w:rPr>
        <w:t>nawierzchni</w:t>
      </w:r>
      <w:r w:rsidR="00272089" w:rsidRPr="00D82087">
        <w:rPr>
          <w:sz w:val="20"/>
          <w:szCs w:val="20"/>
        </w:rPr>
        <w:t xml:space="preserve"> i rzęd</w:t>
      </w:r>
      <w:r w:rsidR="001F6236">
        <w:rPr>
          <w:sz w:val="20"/>
          <w:szCs w:val="20"/>
        </w:rPr>
        <w:t>nymi projektowanymi nie powinny</w:t>
      </w:r>
      <w:r w:rsidRPr="00D82087">
        <w:rPr>
          <w:sz w:val="20"/>
          <w:szCs w:val="20"/>
        </w:rPr>
        <w:t xml:space="preserve"> </w:t>
      </w:r>
      <w:r w:rsidR="00272089" w:rsidRPr="00D82087">
        <w:rPr>
          <w:sz w:val="20"/>
          <w:szCs w:val="20"/>
        </w:rPr>
        <w:t xml:space="preserve">przekraczać + </w:t>
      </w:r>
      <w:smartTag w:uri="urn:schemas-microsoft-com:office:smarttags" w:element="metricconverter">
        <w:smartTagPr>
          <w:attr w:name="ProductID" w:val="1 cm"/>
        </w:smartTagPr>
        <w:r w:rsidR="00272089" w:rsidRPr="00D82087">
          <w:rPr>
            <w:sz w:val="20"/>
            <w:szCs w:val="20"/>
          </w:rPr>
          <w:t>1 cm</w:t>
        </w:r>
      </w:smartTag>
      <w:r w:rsidR="00272089" w:rsidRPr="00D82087">
        <w:rPr>
          <w:sz w:val="20"/>
          <w:szCs w:val="20"/>
        </w:rPr>
        <w:t>, -</w:t>
      </w:r>
      <w:r w:rsidRPr="00D82087">
        <w:rPr>
          <w:sz w:val="20"/>
          <w:szCs w:val="20"/>
        </w:rPr>
        <w:t>1</w:t>
      </w:r>
      <w:r w:rsidR="00272089" w:rsidRPr="00D82087">
        <w:rPr>
          <w:sz w:val="20"/>
          <w:szCs w:val="20"/>
        </w:rPr>
        <w:t xml:space="preserve"> cm.</w:t>
      </w:r>
    </w:p>
    <w:p w:rsidR="00C836D7" w:rsidRDefault="00C836D7" w:rsidP="00C836D7">
      <w:pPr>
        <w:pStyle w:val="Nagwek3"/>
        <w:rPr>
          <w:sz w:val="20"/>
        </w:rPr>
      </w:pPr>
      <w:r w:rsidRPr="00C836D7">
        <w:rPr>
          <w:sz w:val="20"/>
        </w:rPr>
        <w:t>Ukształtowanie osi nawierzchni</w:t>
      </w:r>
    </w:p>
    <w:p w:rsidR="00C836D7" w:rsidRPr="00C836D7" w:rsidRDefault="00C836D7" w:rsidP="00C836D7">
      <w:pPr>
        <w:rPr>
          <w:lang w:eastAsia="pl-PL"/>
        </w:rPr>
      </w:pPr>
      <w:r>
        <w:rPr>
          <w:lang w:eastAsia="pl-PL"/>
        </w:rPr>
        <w:tab/>
      </w:r>
      <w:bookmarkStart w:id="0" w:name="_GoBack"/>
      <w:r w:rsidRPr="00C836D7">
        <w:rPr>
          <w:sz w:val="20"/>
          <w:lang w:eastAsia="pl-PL"/>
        </w:rPr>
        <w:t>Oś nawierzchni w planie nie może być przesunięta w stosunku do osi projektowanej o więcej niż ± 5 cm.</w:t>
      </w:r>
      <w:bookmarkEnd w:id="0"/>
    </w:p>
    <w:p w:rsidR="00272089" w:rsidRPr="00D82087" w:rsidRDefault="00272089" w:rsidP="001F6236">
      <w:pPr>
        <w:pStyle w:val="Nagwek3"/>
        <w:spacing w:before="120"/>
        <w:rPr>
          <w:sz w:val="20"/>
          <w:szCs w:val="20"/>
        </w:rPr>
      </w:pPr>
      <w:r w:rsidRPr="00D82087">
        <w:rPr>
          <w:sz w:val="20"/>
          <w:szCs w:val="20"/>
        </w:rPr>
        <w:t xml:space="preserve">Grubość </w:t>
      </w:r>
      <w:r w:rsidR="001F6236">
        <w:rPr>
          <w:sz w:val="20"/>
          <w:szCs w:val="20"/>
        </w:rPr>
        <w:t>nawierzchni</w:t>
      </w:r>
    </w:p>
    <w:p w:rsidR="0054547B" w:rsidRPr="001F6236" w:rsidRDefault="0054547B" w:rsidP="001F6236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F2638">
        <w:rPr>
          <w:sz w:val="20"/>
          <w:szCs w:val="20"/>
        </w:rPr>
        <w:t xml:space="preserve">Grubość nawierzchni nie może się </w:t>
      </w:r>
      <w:r w:rsidR="00272089" w:rsidRPr="00D82087">
        <w:rPr>
          <w:sz w:val="20"/>
          <w:szCs w:val="20"/>
        </w:rPr>
        <w:t>różnić od grubości projektowanej o więcej ni</w:t>
      </w:r>
      <w:r w:rsidR="001F6236">
        <w:rPr>
          <w:sz w:val="20"/>
          <w:szCs w:val="20"/>
        </w:rPr>
        <w:t xml:space="preserve">ż </w:t>
      </w:r>
      <w:r w:rsidRPr="001F6236">
        <w:rPr>
          <w:sz w:val="20"/>
          <w:szCs w:val="20"/>
        </w:rPr>
        <w:t>± 10%,</w:t>
      </w:r>
    </w:p>
    <w:p w:rsidR="00272089" w:rsidRPr="00D82087" w:rsidRDefault="00272089" w:rsidP="005D6446">
      <w:pPr>
        <w:pStyle w:val="Nagwek2"/>
        <w:rPr>
          <w:sz w:val="20"/>
          <w:szCs w:val="20"/>
        </w:rPr>
      </w:pPr>
      <w:r w:rsidRPr="00D82087">
        <w:rPr>
          <w:sz w:val="20"/>
          <w:szCs w:val="20"/>
        </w:rPr>
        <w:t xml:space="preserve">Zasady postępowania z wadliwie wykonanymi odcinkami </w:t>
      </w:r>
      <w:r w:rsidR="001F6236">
        <w:rPr>
          <w:sz w:val="20"/>
          <w:szCs w:val="20"/>
        </w:rPr>
        <w:t>nawierzchni</w:t>
      </w:r>
    </w:p>
    <w:p w:rsidR="00272089" w:rsidRPr="00D82087" w:rsidRDefault="00272089" w:rsidP="005D6446">
      <w:pPr>
        <w:pStyle w:val="Nagwek3"/>
        <w:rPr>
          <w:sz w:val="20"/>
          <w:szCs w:val="20"/>
        </w:rPr>
      </w:pPr>
      <w:r w:rsidRPr="00D82087">
        <w:rPr>
          <w:sz w:val="20"/>
          <w:szCs w:val="20"/>
        </w:rPr>
        <w:t xml:space="preserve">Niewłaściwe cechy geometryczne </w:t>
      </w:r>
      <w:r w:rsidR="002F2638">
        <w:rPr>
          <w:sz w:val="20"/>
          <w:szCs w:val="20"/>
        </w:rPr>
        <w:t>nawierzchni</w:t>
      </w:r>
    </w:p>
    <w:p w:rsidR="00272089" w:rsidRPr="00D82087" w:rsidRDefault="005D6446" w:rsidP="00D82087">
      <w:pPr>
        <w:spacing w:before="60"/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 xml:space="preserve">Wszystkie powierzchnie </w:t>
      </w:r>
      <w:r w:rsidR="001F6236">
        <w:rPr>
          <w:sz w:val="20"/>
          <w:szCs w:val="20"/>
        </w:rPr>
        <w:t>nawierzchni</w:t>
      </w:r>
      <w:r w:rsidR="00272089" w:rsidRPr="00D82087">
        <w:rPr>
          <w:sz w:val="20"/>
          <w:szCs w:val="20"/>
        </w:rPr>
        <w:t>, które wykazują więk</w:t>
      </w:r>
      <w:r w:rsidRPr="00D82087">
        <w:rPr>
          <w:sz w:val="20"/>
          <w:szCs w:val="20"/>
        </w:rPr>
        <w:t xml:space="preserve">sze odchylenia od określonych </w:t>
      </w:r>
      <w:r w:rsidR="00272089" w:rsidRPr="00D82087">
        <w:rPr>
          <w:sz w:val="20"/>
          <w:szCs w:val="20"/>
        </w:rPr>
        <w:t>w</w:t>
      </w:r>
      <w:r w:rsidRPr="00D82087">
        <w:rPr>
          <w:sz w:val="20"/>
          <w:szCs w:val="20"/>
        </w:rPr>
        <w:t> </w:t>
      </w:r>
      <w:r w:rsidR="00272089" w:rsidRPr="00D82087">
        <w:rPr>
          <w:sz w:val="20"/>
          <w:szCs w:val="20"/>
        </w:rPr>
        <w:t xml:space="preserve">punkcie 6.4 powinny być naprawione przez spulchnienie lub zerwanie do </w:t>
      </w:r>
      <w:proofErr w:type="gramStart"/>
      <w:r w:rsidR="00272089" w:rsidRPr="00D82087">
        <w:rPr>
          <w:sz w:val="20"/>
          <w:szCs w:val="20"/>
        </w:rPr>
        <w:t>głębokości co</w:t>
      </w:r>
      <w:proofErr w:type="gramEnd"/>
      <w:r w:rsidR="00272089" w:rsidRPr="00D82087">
        <w:rPr>
          <w:sz w:val="20"/>
          <w:szCs w:val="20"/>
        </w:rPr>
        <w:t xml:space="preserve"> najmniej 10</w:t>
      </w:r>
      <w:r w:rsidRPr="00D82087">
        <w:rPr>
          <w:sz w:val="20"/>
          <w:szCs w:val="20"/>
        </w:rPr>
        <w:t> </w:t>
      </w:r>
      <w:r w:rsidR="00272089" w:rsidRPr="00D82087">
        <w:rPr>
          <w:sz w:val="20"/>
          <w:szCs w:val="20"/>
        </w:rPr>
        <w:t>cm, wyrównane i</w:t>
      </w:r>
      <w:r w:rsidR="00D82087">
        <w:rPr>
          <w:sz w:val="20"/>
          <w:szCs w:val="20"/>
        </w:rPr>
        <w:t> </w:t>
      </w:r>
      <w:r w:rsidR="00272089" w:rsidRPr="00D82087">
        <w:rPr>
          <w:sz w:val="20"/>
          <w:szCs w:val="20"/>
        </w:rPr>
        <w:t>powtórnie zagęszczone. Dodanie now</w:t>
      </w:r>
      <w:r w:rsidRPr="00D82087">
        <w:rPr>
          <w:sz w:val="20"/>
          <w:szCs w:val="20"/>
        </w:rPr>
        <w:t xml:space="preserve">ego materiału bez </w:t>
      </w:r>
      <w:proofErr w:type="gramStart"/>
      <w:r w:rsidRPr="00D82087">
        <w:rPr>
          <w:sz w:val="20"/>
          <w:szCs w:val="20"/>
        </w:rPr>
        <w:t xml:space="preserve">spulchnienia  </w:t>
      </w:r>
      <w:r w:rsidR="00272089" w:rsidRPr="00D82087">
        <w:rPr>
          <w:sz w:val="20"/>
          <w:szCs w:val="20"/>
        </w:rPr>
        <w:t>wykonanej</w:t>
      </w:r>
      <w:proofErr w:type="gramEnd"/>
      <w:r w:rsidR="00272089" w:rsidRPr="00D82087">
        <w:rPr>
          <w:sz w:val="20"/>
          <w:szCs w:val="20"/>
        </w:rPr>
        <w:t xml:space="preserve"> warstwy jest niedopuszczalne.</w:t>
      </w:r>
    </w:p>
    <w:p w:rsidR="00272089" w:rsidRPr="00D82087" w:rsidRDefault="00272089" w:rsidP="001F6236">
      <w:pPr>
        <w:pStyle w:val="Nagwek3"/>
        <w:spacing w:before="120"/>
        <w:rPr>
          <w:sz w:val="20"/>
          <w:szCs w:val="20"/>
        </w:rPr>
      </w:pPr>
      <w:r w:rsidRPr="00D82087">
        <w:rPr>
          <w:sz w:val="20"/>
          <w:szCs w:val="20"/>
        </w:rPr>
        <w:t xml:space="preserve">Niewłaściwa grubość </w:t>
      </w:r>
      <w:r w:rsidR="002F2638">
        <w:rPr>
          <w:sz w:val="20"/>
          <w:szCs w:val="20"/>
        </w:rPr>
        <w:t>nawierzchni</w:t>
      </w:r>
    </w:p>
    <w:p w:rsidR="00272089" w:rsidRPr="00D82087" w:rsidRDefault="005D6446" w:rsidP="00272089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 xml:space="preserve">Na wszystkich powierzchniach wadliwych pod względem grubości, Wykonawca wykona naprawę </w:t>
      </w:r>
      <w:r w:rsidR="001F6236">
        <w:rPr>
          <w:sz w:val="20"/>
          <w:szCs w:val="20"/>
        </w:rPr>
        <w:t>nawierzchni</w:t>
      </w:r>
      <w:r w:rsidR="00272089" w:rsidRPr="00D82087">
        <w:rPr>
          <w:sz w:val="20"/>
          <w:szCs w:val="20"/>
        </w:rPr>
        <w:t>. Powierzchnie powinny być naprawione przez spulchnienie lub wybranie warstwy na odpowiednią głębokość, zgodnie z decyzją Inżyniera, uzupełnione nowym materiałem o</w:t>
      </w:r>
      <w:r w:rsidRPr="00D82087">
        <w:rPr>
          <w:sz w:val="20"/>
          <w:szCs w:val="20"/>
        </w:rPr>
        <w:t> </w:t>
      </w:r>
      <w:r w:rsidR="00272089" w:rsidRPr="00D82087">
        <w:rPr>
          <w:sz w:val="20"/>
          <w:szCs w:val="20"/>
        </w:rPr>
        <w:t xml:space="preserve">odpowiednich właściwościach, wyrównane </w:t>
      </w:r>
      <w:r w:rsidR="00D82087">
        <w:rPr>
          <w:sz w:val="20"/>
          <w:szCs w:val="20"/>
        </w:rPr>
        <w:t>i </w:t>
      </w:r>
      <w:r w:rsidR="00272089" w:rsidRPr="00D82087">
        <w:rPr>
          <w:sz w:val="20"/>
          <w:szCs w:val="20"/>
        </w:rPr>
        <w:t>ponownie zagęszczone.</w:t>
      </w:r>
      <w:r w:rsidRPr="00D82087">
        <w:rPr>
          <w:sz w:val="20"/>
          <w:szCs w:val="20"/>
        </w:rPr>
        <w:t xml:space="preserve"> </w:t>
      </w:r>
      <w:r w:rsidR="00272089" w:rsidRPr="00D82087">
        <w:rPr>
          <w:sz w:val="20"/>
          <w:szCs w:val="20"/>
        </w:rPr>
        <w:t>Roboty te Wykonawca wykona na własny koszt. Po wykonaniu tych robót nastąpi ponowny pomiar i ocena grubości warstwy, według wyżej podanych zasad, na koszt Wykonawcy.</w:t>
      </w:r>
    </w:p>
    <w:p w:rsidR="00272089" w:rsidRPr="00D82087" w:rsidRDefault="00272089" w:rsidP="001F6236">
      <w:pPr>
        <w:pStyle w:val="Nagwek3"/>
        <w:spacing w:before="120"/>
        <w:rPr>
          <w:sz w:val="20"/>
          <w:szCs w:val="20"/>
        </w:rPr>
      </w:pPr>
      <w:r w:rsidRPr="00D82087">
        <w:rPr>
          <w:sz w:val="20"/>
          <w:szCs w:val="20"/>
        </w:rPr>
        <w:t xml:space="preserve">Niewłaściwa nośność </w:t>
      </w:r>
      <w:r w:rsidR="001F6236">
        <w:rPr>
          <w:sz w:val="20"/>
          <w:szCs w:val="20"/>
        </w:rPr>
        <w:t>nawierzchni</w:t>
      </w:r>
    </w:p>
    <w:p w:rsidR="00272089" w:rsidRPr="00D82087" w:rsidRDefault="005D6446" w:rsidP="00272089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 xml:space="preserve">Jeżeli nośność </w:t>
      </w:r>
      <w:r w:rsidR="001F6236">
        <w:rPr>
          <w:sz w:val="20"/>
          <w:szCs w:val="20"/>
        </w:rPr>
        <w:t>nawierzchni</w:t>
      </w:r>
      <w:r w:rsidR="00272089" w:rsidRPr="00D82087">
        <w:rPr>
          <w:sz w:val="20"/>
          <w:szCs w:val="20"/>
        </w:rPr>
        <w:t xml:space="preserve"> będzie mniejsza od wymaganej, to Wykonawca wykona wszelkie roboty niezbędne do zapewnienia wymaganej nośności, zaleco</w:t>
      </w:r>
      <w:r w:rsidRPr="00D82087">
        <w:rPr>
          <w:sz w:val="20"/>
          <w:szCs w:val="20"/>
        </w:rPr>
        <w:t xml:space="preserve">ne przez Inżyniera. </w:t>
      </w:r>
      <w:r w:rsidR="00272089" w:rsidRPr="00D82087">
        <w:rPr>
          <w:sz w:val="20"/>
          <w:szCs w:val="20"/>
        </w:rPr>
        <w:t xml:space="preserve">Koszty tych dodatkowych robót poniesie Wykonawca </w:t>
      </w:r>
      <w:r w:rsidR="002F2638">
        <w:rPr>
          <w:sz w:val="20"/>
          <w:szCs w:val="20"/>
        </w:rPr>
        <w:t>nawierzchni</w:t>
      </w:r>
      <w:r w:rsidR="00272089" w:rsidRPr="00D82087">
        <w:rPr>
          <w:sz w:val="20"/>
          <w:szCs w:val="20"/>
        </w:rPr>
        <w:t xml:space="preserve"> tylko wtedy, gdy zaniżenie nośności </w:t>
      </w:r>
      <w:r w:rsidR="001F6236">
        <w:rPr>
          <w:sz w:val="20"/>
          <w:szCs w:val="20"/>
        </w:rPr>
        <w:t>nawierzchni</w:t>
      </w:r>
      <w:r w:rsidR="00272089" w:rsidRPr="00D82087">
        <w:rPr>
          <w:sz w:val="20"/>
          <w:szCs w:val="20"/>
        </w:rPr>
        <w:t xml:space="preserve"> wynikło z niewłaściwego wykonania robót przez Wykonawcę </w:t>
      </w:r>
      <w:r w:rsidR="002F2638">
        <w:rPr>
          <w:sz w:val="20"/>
          <w:szCs w:val="20"/>
        </w:rPr>
        <w:t>nawierzchni</w:t>
      </w:r>
      <w:r w:rsidR="00272089" w:rsidRPr="00D82087">
        <w:rPr>
          <w:sz w:val="20"/>
          <w:szCs w:val="20"/>
        </w:rPr>
        <w:t>.</w:t>
      </w:r>
    </w:p>
    <w:p w:rsidR="005D6446" w:rsidRDefault="00272089" w:rsidP="005D6446">
      <w:pPr>
        <w:pStyle w:val="Nagwek1"/>
      </w:pPr>
      <w:bookmarkStart w:id="1" w:name="_Toc418394443"/>
      <w:bookmarkStart w:id="2" w:name="_Toc423845944"/>
      <w:r w:rsidRPr="008A420C">
        <w:t>OBMIAR ROBÓ</w:t>
      </w:r>
      <w:bookmarkEnd w:id="1"/>
      <w:bookmarkEnd w:id="2"/>
      <w:r w:rsidR="005D6446">
        <w:t>T</w:t>
      </w:r>
    </w:p>
    <w:p w:rsidR="00272089" w:rsidRPr="00D82087" w:rsidRDefault="00272089" w:rsidP="005D6446">
      <w:pPr>
        <w:pStyle w:val="Nagwek2"/>
        <w:rPr>
          <w:sz w:val="20"/>
          <w:szCs w:val="20"/>
        </w:rPr>
      </w:pPr>
      <w:r w:rsidRPr="00D82087">
        <w:rPr>
          <w:sz w:val="20"/>
          <w:szCs w:val="20"/>
        </w:rPr>
        <w:t>Ogólne zasady obmiaru robót</w:t>
      </w:r>
    </w:p>
    <w:p w:rsidR="00272089" w:rsidRPr="00D82087" w:rsidRDefault="00272089" w:rsidP="00272089">
      <w:pPr>
        <w:rPr>
          <w:sz w:val="20"/>
          <w:szCs w:val="20"/>
        </w:rPr>
      </w:pPr>
      <w:r w:rsidRPr="00D82087">
        <w:rPr>
          <w:sz w:val="20"/>
          <w:szCs w:val="20"/>
        </w:rPr>
        <w:tab/>
        <w:t xml:space="preserve">Ogólne zasady obmiaru robót podano w </w:t>
      </w:r>
      <w:r w:rsidR="00D82087" w:rsidRPr="00D82087">
        <w:rPr>
          <w:sz w:val="20"/>
          <w:szCs w:val="20"/>
        </w:rPr>
        <w:t>ST</w:t>
      </w:r>
      <w:r w:rsidRPr="00D82087">
        <w:rPr>
          <w:sz w:val="20"/>
          <w:szCs w:val="20"/>
        </w:rPr>
        <w:t xml:space="preserve"> D-M-00.00.00 „Wymagania ogólne” pkt</w:t>
      </w:r>
      <w:r w:rsidR="005D6446" w:rsidRPr="00D82087">
        <w:rPr>
          <w:sz w:val="20"/>
          <w:szCs w:val="20"/>
        </w:rPr>
        <w:t>.</w:t>
      </w:r>
      <w:r w:rsidRPr="00D82087">
        <w:rPr>
          <w:sz w:val="20"/>
          <w:szCs w:val="20"/>
        </w:rPr>
        <w:t xml:space="preserve"> 7.</w:t>
      </w:r>
    </w:p>
    <w:p w:rsidR="00272089" w:rsidRPr="00D82087" w:rsidRDefault="00272089" w:rsidP="005D6446">
      <w:pPr>
        <w:pStyle w:val="Nagwek2"/>
        <w:rPr>
          <w:sz w:val="20"/>
          <w:szCs w:val="20"/>
        </w:rPr>
      </w:pPr>
      <w:r w:rsidRPr="00D82087">
        <w:rPr>
          <w:sz w:val="20"/>
          <w:szCs w:val="20"/>
        </w:rPr>
        <w:lastRenderedPageBreak/>
        <w:t>Jednostka obmiarowa</w:t>
      </w:r>
    </w:p>
    <w:p w:rsidR="00272089" w:rsidRPr="00D82087" w:rsidRDefault="005D6446" w:rsidP="00272089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D82087">
        <w:rPr>
          <w:sz w:val="20"/>
          <w:szCs w:val="20"/>
        </w:rPr>
        <w:t xml:space="preserve">Jednostką obmiarową jest </w:t>
      </w:r>
      <w:r w:rsidR="00272089" w:rsidRPr="00D82087">
        <w:rPr>
          <w:sz w:val="20"/>
          <w:szCs w:val="20"/>
        </w:rPr>
        <w:t>m</w:t>
      </w:r>
      <w:r w:rsidR="00272089" w:rsidRPr="00D82087">
        <w:rPr>
          <w:sz w:val="20"/>
          <w:szCs w:val="20"/>
          <w:vertAlign w:val="superscript"/>
        </w:rPr>
        <w:t>2</w:t>
      </w:r>
      <w:r w:rsidRPr="00D82087">
        <w:rPr>
          <w:sz w:val="20"/>
          <w:szCs w:val="20"/>
        </w:rPr>
        <w:t xml:space="preserve"> (metr kwadratowy</w:t>
      </w:r>
      <w:r w:rsidR="001F6236">
        <w:rPr>
          <w:sz w:val="20"/>
          <w:szCs w:val="20"/>
        </w:rPr>
        <w:t>) wykonanej nawierzchni</w:t>
      </w:r>
      <w:r w:rsidRPr="00D82087">
        <w:rPr>
          <w:sz w:val="20"/>
          <w:szCs w:val="20"/>
        </w:rPr>
        <w:t xml:space="preserve"> z </w:t>
      </w:r>
      <w:r w:rsidR="00272089" w:rsidRPr="00D82087">
        <w:rPr>
          <w:sz w:val="20"/>
          <w:szCs w:val="20"/>
        </w:rPr>
        <w:t xml:space="preserve">kruszywa </w:t>
      </w:r>
      <w:r w:rsidRPr="00D82087">
        <w:rPr>
          <w:sz w:val="20"/>
          <w:szCs w:val="20"/>
        </w:rPr>
        <w:t xml:space="preserve">łamanego </w:t>
      </w:r>
      <w:r w:rsidR="00272089" w:rsidRPr="00D82087">
        <w:rPr>
          <w:sz w:val="20"/>
          <w:szCs w:val="20"/>
        </w:rPr>
        <w:t>stabilizowanego mechanicznie.</w:t>
      </w:r>
    </w:p>
    <w:p w:rsidR="00272089" w:rsidRPr="008A420C" w:rsidRDefault="00272089" w:rsidP="005D6446">
      <w:pPr>
        <w:pStyle w:val="Nagwek1"/>
      </w:pPr>
      <w:bookmarkStart w:id="3" w:name="_Toc418394444"/>
      <w:bookmarkStart w:id="4" w:name="_Toc423845945"/>
      <w:r w:rsidRPr="008A420C">
        <w:t>ODBIÓR ROBÓT</w:t>
      </w:r>
      <w:bookmarkEnd w:id="3"/>
      <w:bookmarkEnd w:id="4"/>
    </w:p>
    <w:p w:rsidR="00272089" w:rsidRPr="00D82087" w:rsidRDefault="005D6446" w:rsidP="00272089">
      <w:pPr>
        <w:rPr>
          <w:sz w:val="20"/>
          <w:szCs w:val="20"/>
        </w:rPr>
      </w:pPr>
      <w:r>
        <w:tab/>
      </w:r>
      <w:r w:rsidR="00272089" w:rsidRPr="00D82087">
        <w:rPr>
          <w:sz w:val="20"/>
          <w:szCs w:val="20"/>
        </w:rPr>
        <w:t xml:space="preserve">Ogólne zasady </w:t>
      </w:r>
      <w:r w:rsidR="00266E7D">
        <w:rPr>
          <w:sz w:val="20"/>
          <w:szCs w:val="20"/>
        </w:rPr>
        <w:t>odbioru robót podano w S</w:t>
      </w:r>
      <w:r w:rsidR="00272089" w:rsidRPr="00D82087">
        <w:rPr>
          <w:sz w:val="20"/>
          <w:szCs w:val="20"/>
        </w:rPr>
        <w:t>T D-M-00.00.00 „Wymagania ogólne” pkt</w:t>
      </w:r>
      <w:r w:rsidRPr="00D82087">
        <w:rPr>
          <w:sz w:val="20"/>
          <w:szCs w:val="20"/>
        </w:rPr>
        <w:t>.</w:t>
      </w:r>
      <w:r w:rsidR="00272089" w:rsidRPr="00D82087">
        <w:rPr>
          <w:sz w:val="20"/>
          <w:szCs w:val="20"/>
        </w:rPr>
        <w:t xml:space="preserve"> 8.</w:t>
      </w:r>
    </w:p>
    <w:p w:rsidR="00272089" w:rsidRPr="00D82087" w:rsidRDefault="005D6446" w:rsidP="00272089">
      <w:pPr>
        <w:rPr>
          <w:sz w:val="20"/>
          <w:szCs w:val="20"/>
        </w:rPr>
      </w:pPr>
      <w:r w:rsidRPr="00D82087">
        <w:rPr>
          <w:sz w:val="20"/>
          <w:szCs w:val="20"/>
        </w:rPr>
        <w:tab/>
      </w:r>
      <w:r w:rsidR="00272089" w:rsidRPr="00D82087">
        <w:rPr>
          <w:sz w:val="20"/>
          <w:szCs w:val="20"/>
        </w:rPr>
        <w:t xml:space="preserve">Roboty uznaje się za zgodne z dokumentacją projektową, SST i wymaganiami Inżyniera, jeżeli wszystkie pomiary i badania z zachowaniem tolerancji </w:t>
      </w:r>
      <w:r w:rsidRPr="00D82087">
        <w:rPr>
          <w:sz w:val="20"/>
          <w:szCs w:val="20"/>
        </w:rPr>
        <w:t>wg pkt 6 dały wyniki pozytywne.</w:t>
      </w:r>
    </w:p>
    <w:p w:rsidR="00272089" w:rsidRPr="00547E4B" w:rsidRDefault="00272089" w:rsidP="005D6446">
      <w:pPr>
        <w:pStyle w:val="Nagwek1"/>
      </w:pPr>
      <w:r w:rsidRPr="00547E4B">
        <w:t>PODSTAWA PŁATNOSCI</w:t>
      </w:r>
    </w:p>
    <w:p w:rsidR="00272089" w:rsidRPr="00266E7D" w:rsidRDefault="00272089" w:rsidP="005D6446">
      <w:pPr>
        <w:pStyle w:val="Nagwek2"/>
        <w:rPr>
          <w:sz w:val="20"/>
          <w:szCs w:val="20"/>
        </w:rPr>
      </w:pPr>
      <w:r w:rsidRPr="00266E7D">
        <w:rPr>
          <w:sz w:val="20"/>
          <w:szCs w:val="20"/>
        </w:rPr>
        <w:t>Ogólne ustalenia dotyczące podstawy płatności</w:t>
      </w:r>
    </w:p>
    <w:p w:rsidR="00272089" w:rsidRPr="00266E7D" w:rsidRDefault="005D6446" w:rsidP="00272089">
      <w:pPr>
        <w:rPr>
          <w:sz w:val="20"/>
          <w:szCs w:val="20"/>
        </w:rPr>
      </w:pPr>
      <w:r w:rsidRPr="00266E7D">
        <w:rPr>
          <w:sz w:val="20"/>
          <w:szCs w:val="20"/>
        </w:rPr>
        <w:tab/>
      </w:r>
      <w:r w:rsidR="00272089" w:rsidRPr="00266E7D">
        <w:rPr>
          <w:sz w:val="20"/>
          <w:szCs w:val="20"/>
        </w:rPr>
        <w:t>Ogólne ustalenia dotyczą</w:t>
      </w:r>
      <w:r w:rsidR="00266E7D">
        <w:rPr>
          <w:sz w:val="20"/>
          <w:szCs w:val="20"/>
        </w:rPr>
        <w:t xml:space="preserve">ce podstawy płatności podano w </w:t>
      </w:r>
      <w:r w:rsidR="00272089" w:rsidRPr="00266E7D">
        <w:rPr>
          <w:sz w:val="20"/>
          <w:szCs w:val="20"/>
        </w:rPr>
        <w:t>ST D</w:t>
      </w:r>
      <w:r w:rsidRPr="00266E7D">
        <w:rPr>
          <w:sz w:val="20"/>
          <w:szCs w:val="20"/>
        </w:rPr>
        <w:t>-</w:t>
      </w:r>
      <w:r w:rsidR="00272089" w:rsidRPr="00266E7D">
        <w:rPr>
          <w:sz w:val="20"/>
          <w:szCs w:val="20"/>
        </w:rPr>
        <w:t>M</w:t>
      </w:r>
      <w:r w:rsidRPr="00266E7D">
        <w:rPr>
          <w:sz w:val="20"/>
          <w:szCs w:val="20"/>
        </w:rPr>
        <w:t>-</w:t>
      </w:r>
      <w:r w:rsidR="00272089" w:rsidRPr="00266E7D">
        <w:rPr>
          <w:sz w:val="20"/>
          <w:szCs w:val="20"/>
        </w:rPr>
        <w:t>00.00.00 „Wymagania ogólne”</w:t>
      </w:r>
      <w:r w:rsidRPr="00266E7D">
        <w:rPr>
          <w:sz w:val="20"/>
          <w:szCs w:val="20"/>
        </w:rPr>
        <w:t xml:space="preserve"> pkt. 9</w:t>
      </w:r>
      <w:r w:rsidR="00272089" w:rsidRPr="00266E7D">
        <w:rPr>
          <w:sz w:val="20"/>
          <w:szCs w:val="20"/>
        </w:rPr>
        <w:t xml:space="preserve">. </w:t>
      </w:r>
    </w:p>
    <w:p w:rsidR="00272089" w:rsidRPr="00266E7D" w:rsidRDefault="00272089" w:rsidP="005D6446">
      <w:pPr>
        <w:pStyle w:val="Nagwek2"/>
        <w:rPr>
          <w:sz w:val="20"/>
          <w:szCs w:val="20"/>
        </w:rPr>
      </w:pPr>
      <w:r w:rsidRPr="00266E7D">
        <w:rPr>
          <w:sz w:val="20"/>
          <w:szCs w:val="20"/>
        </w:rPr>
        <w:t>Cena jednostki obmiarowej</w:t>
      </w:r>
    </w:p>
    <w:p w:rsidR="00272089" w:rsidRDefault="00272089" w:rsidP="00272089">
      <w:pPr>
        <w:rPr>
          <w:sz w:val="20"/>
          <w:szCs w:val="20"/>
        </w:rPr>
      </w:pPr>
      <w:r w:rsidRPr="00266E7D">
        <w:rPr>
          <w:sz w:val="20"/>
          <w:szCs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266E7D">
          <w:rPr>
            <w:sz w:val="20"/>
            <w:szCs w:val="20"/>
          </w:rPr>
          <w:t>1 m</w:t>
        </w:r>
        <w:r w:rsidRPr="00266E7D">
          <w:rPr>
            <w:sz w:val="20"/>
            <w:szCs w:val="20"/>
            <w:vertAlign w:val="superscript"/>
          </w:rPr>
          <w:t>2</w:t>
        </w:r>
      </w:smartTag>
      <w:r w:rsidR="001F6236">
        <w:rPr>
          <w:sz w:val="20"/>
          <w:szCs w:val="20"/>
        </w:rPr>
        <w:t xml:space="preserve"> nawierzchni</w:t>
      </w:r>
      <w:r w:rsidRPr="00266E7D">
        <w:rPr>
          <w:sz w:val="20"/>
          <w:szCs w:val="20"/>
        </w:rPr>
        <w:t xml:space="preserve"> obejmuje:</w:t>
      </w:r>
    </w:p>
    <w:p w:rsidR="001F6236" w:rsidRPr="001F6236" w:rsidRDefault="001F6236" w:rsidP="001F6236">
      <w:pPr>
        <w:pStyle w:val="Akapitzlist"/>
        <w:numPr>
          <w:ilvl w:val="0"/>
          <w:numId w:val="43"/>
        </w:numPr>
        <w:rPr>
          <w:rFonts w:ascii="Symbol" w:eastAsia="Symbol" w:hAnsi="Symbol"/>
          <w:sz w:val="20"/>
        </w:rPr>
      </w:pPr>
      <w:proofErr w:type="gramStart"/>
      <w:r w:rsidRPr="001F6236">
        <w:rPr>
          <w:sz w:val="20"/>
        </w:rPr>
        <w:t>zakup</w:t>
      </w:r>
      <w:proofErr w:type="gramEnd"/>
      <w:r w:rsidRPr="001F6236">
        <w:rPr>
          <w:sz w:val="20"/>
        </w:rPr>
        <w:t xml:space="preserve"> i transport materiału na plac budowy,</w:t>
      </w:r>
    </w:p>
    <w:p w:rsidR="001F6236" w:rsidRPr="001F6236" w:rsidRDefault="001F6236" w:rsidP="001F6236">
      <w:pPr>
        <w:pStyle w:val="Akapitzlist"/>
        <w:numPr>
          <w:ilvl w:val="0"/>
          <w:numId w:val="43"/>
        </w:numPr>
        <w:rPr>
          <w:rFonts w:ascii="Symbol" w:eastAsia="Symbol" w:hAnsi="Symbol"/>
          <w:sz w:val="20"/>
        </w:rPr>
      </w:pPr>
      <w:proofErr w:type="gramStart"/>
      <w:r w:rsidRPr="001F6236">
        <w:rPr>
          <w:sz w:val="20"/>
        </w:rPr>
        <w:t>prace</w:t>
      </w:r>
      <w:proofErr w:type="gramEnd"/>
      <w:r w:rsidRPr="001F6236">
        <w:rPr>
          <w:sz w:val="20"/>
        </w:rPr>
        <w:t xml:space="preserve"> pomiarowe i roboty przygotowawcze,</w:t>
      </w:r>
    </w:p>
    <w:p w:rsidR="001F6236" w:rsidRPr="001F6236" w:rsidRDefault="001F6236" w:rsidP="001F6236">
      <w:pPr>
        <w:pStyle w:val="Akapitzlist"/>
        <w:numPr>
          <w:ilvl w:val="0"/>
          <w:numId w:val="43"/>
        </w:numPr>
        <w:rPr>
          <w:rFonts w:ascii="Symbol" w:eastAsia="Symbol" w:hAnsi="Symbol"/>
          <w:sz w:val="20"/>
        </w:rPr>
      </w:pPr>
      <w:proofErr w:type="gramStart"/>
      <w:r w:rsidRPr="001F6236">
        <w:rPr>
          <w:sz w:val="20"/>
        </w:rPr>
        <w:t>oznakowanie</w:t>
      </w:r>
      <w:proofErr w:type="gramEnd"/>
      <w:r w:rsidRPr="001F6236">
        <w:rPr>
          <w:sz w:val="20"/>
        </w:rPr>
        <w:t xml:space="preserve"> robót,</w:t>
      </w:r>
    </w:p>
    <w:p w:rsidR="001F6236" w:rsidRPr="001F6236" w:rsidRDefault="001F6236" w:rsidP="001F6236">
      <w:pPr>
        <w:pStyle w:val="Akapitzlist"/>
        <w:numPr>
          <w:ilvl w:val="0"/>
          <w:numId w:val="43"/>
        </w:numPr>
        <w:rPr>
          <w:rFonts w:ascii="Symbol" w:eastAsia="Symbol" w:hAnsi="Symbol"/>
          <w:sz w:val="20"/>
        </w:rPr>
      </w:pPr>
      <w:proofErr w:type="gramStart"/>
      <w:r w:rsidRPr="001F6236">
        <w:rPr>
          <w:sz w:val="20"/>
        </w:rPr>
        <w:t>dostarczenie</w:t>
      </w:r>
      <w:proofErr w:type="gramEnd"/>
      <w:r w:rsidRPr="001F6236">
        <w:rPr>
          <w:sz w:val="20"/>
        </w:rPr>
        <w:t xml:space="preserve"> i rozładunek materiałów na miejsce wbudowania,</w:t>
      </w:r>
    </w:p>
    <w:p w:rsidR="001F6236" w:rsidRPr="001F6236" w:rsidRDefault="001F6236" w:rsidP="001F6236">
      <w:pPr>
        <w:pStyle w:val="Akapitzlist"/>
        <w:numPr>
          <w:ilvl w:val="0"/>
          <w:numId w:val="43"/>
        </w:numPr>
        <w:rPr>
          <w:rFonts w:ascii="Symbol" w:eastAsia="Symbol" w:hAnsi="Symbol"/>
          <w:sz w:val="20"/>
        </w:rPr>
      </w:pPr>
      <w:proofErr w:type="gramStart"/>
      <w:r w:rsidRPr="001F6236">
        <w:rPr>
          <w:sz w:val="20"/>
        </w:rPr>
        <w:t>rozło</w:t>
      </w:r>
      <w:r>
        <w:rPr>
          <w:sz w:val="20"/>
        </w:rPr>
        <w:t>ż</w:t>
      </w:r>
      <w:r w:rsidRPr="001F6236">
        <w:rPr>
          <w:sz w:val="20"/>
        </w:rPr>
        <w:t>enie</w:t>
      </w:r>
      <w:proofErr w:type="gramEnd"/>
      <w:r w:rsidRPr="001F6236">
        <w:rPr>
          <w:sz w:val="20"/>
        </w:rPr>
        <w:t xml:space="preserve"> kruszywa,</w:t>
      </w:r>
    </w:p>
    <w:p w:rsidR="001F6236" w:rsidRPr="001F6236" w:rsidRDefault="001F6236" w:rsidP="001F6236">
      <w:pPr>
        <w:pStyle w:val="Akapitzlist"/>
        <w:numPr>
          <w:ilvl w:val="0"/>
          <w:numId w:val="43"/>
        </w:numPr>
        <w:rPr>
          <w:rFonts w:ascii="Symbol" w:eastAsia="Symbol" w:hAnsi="Symbol"/>
          <w:sz w:val="20"/>
        </w:rPr>
      </w:pPr>
      <w:proofErr w:type="gramStart"/>
      <w:r w:rsidRPr="001F6236">
        <w:rPr>
          <w:sz w:val="20"/>
        </w:rPr>
        <w:t>zagęszczenie</w:t>
      </w:r>
      <w:proofErr w:type="gramEnd"/>
      <w:r w:rsidRPr="001F6236">
        <w:rPr>
          <w:sz w:val="20"/>
        </w:rPr>
        <w:t xml:space="preserve"> rozścielonego i wyrównanego kruszywa,</w:t>
      </w:r>
    </w:p>
    <w:p w:rsidR="001F6236" w:rsidRPr="001F6236" w:rsidRDefault="001F6236" w:rsidP="001F6236">
      <w:pPr>
        <w:pStyle w:val="Akapitzlist"/>
        <w:numPr>
          <w:ilvl w:val="0"/>
          <w:numId w:val="43"/>
        </w:numPr>
        <w:rPr>
          <w:rFonts w:ascii="Symbol" w:eastAsia="Symbol" w:hAnsi="Symbol"/>
        </w:rPr>
      </w:pPr>
      <w:proofErr w:type="gramStart"/>
      <w:r w:rsidRPr="001F6236">
        <w:rPr>
          <w:sz w:val="20"/>
        </w:rPr>
        <w:t>przeprowadzenie</w:t>
      </w:r>
      <w:proofErr w:type="gramEnd"/>
      <w:r w:rsidRPr="001F6236">
        <w:rPr>
          <w:sz w:val="20"/>
        </w:rPr>
        <w:t xml:space="preserve"> </w:t>
      </w:r>
      <w:r>
        <w:t>pomiarów i badań laboratoryjnych, wymaganych w specyfikacji technicznej.</w:t>
      </w:r>
    </w:p>
    <w:p w:rsidR="00272089" w:rsidRPr="008A420C" w:rsidRDefault="00272089" w:rsidP="005D6446">
      <w:pPr>
        <w:pStyle w:val="Nagwek1"/>
      </w:pPr>
      <w:r>
        <w:t>PRZYPISY ZWIĄZANE</w:t>
      </w:r>
    </w:p>
    <w:p w:rsidR="00266E7D" w:rsidRPr="001F6236" w:rsidRDefault="00266E7D" w:rsidP="00266E7D">
      <w:pPr>
        <w:pStyle w:val="Nagwek2"/>
        <w:spacing w:before="120"/>
        <w:ind w:left="715" w:hanging="505"/>
        <w:rPr>
          <w:sz w:val="20"/>
          <w:szCs w:val="20"/>
        </w:rPr>
      </w:pPr>
      <w:r w:rsidRPr="001F6236">
        <w:rPr>
          <w:sz w:val="20"/>
          <w:szCs w:val="20"/>
        </w:rPr>
        <w:t>Specyfikacje techniczne</w:t>
      </w:r>
    </w:p>
    <w:p w:rsidR="00266E7D" w:rsidRPr="001F6236" w:rsidRDefault="00266E7D" w:rsidP="00266E7D">
      <w:pPr>
        <w:tabs>
          <w:tab w:val="clear" w:pos="284"/>
          <w:tab w:val="left" w:pos="426"/>
          <w:tab w:val="left" w:pos="2268"/>
        </w:tabs>
        <w:ind w:left="426"/>
        <w:jc w:val="left"/>
        <w:rPr>
          <w:sz w:val="20"/>
          <w:szCs w:val="20"/>
          <w:lang w:eastAsia="pl-PL"/>
        </w:rPr>
      </w:pPr>
      <w:r w:rsidRPr="001F6236">
        <w:rPr>
          <w:sz w:val="20"/>
          <w:szCs w:val="20"/>
          <w:lang w:eastAsia="pl-PL"/>
        </w:rPr>
        <w:t>D-M-00.00.00</w:t>
      </w:r>
      <w:r w:rsidRPr="001F6236">
        <w:rPr>
          <w:sz w:val="20"/>
          <w:szCs w:val="20"/>
          <w:lang w:eastAsia="pl-PL"/>
        </w:rPr>
        <w:tab/>
        <w:t>Wymagania ogólne</w:t>
      </w:r>
    </w:p>
    <w:p w:rsidR="002E5E2B" w:rsidRPr="001F6236" w:rsidRDefault="00E032BD" w:rsidP="00E032BD">
      <w:pPr>
        <w:pStyle w:val="Nagwek2"/>
        <w:rPr>
          <w:sz w:val="20"/>
          <w:szCs w:val="20"/>
        </w:rPr>
      </w:pPr>
      <w:r w:rsidRPr="001F6236">
        <w:rPr>
          <w:sz w:val="20"/>
          <w:szCs w:val="20"/>
        </w:rPr>
        <w:t>Normy</w:t>
      </w: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1765"/>
        <w:gridCol w:w="7229"/>
      </w:tblGrid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1.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 w:cs="Arial"/>
              </w:rPr>
              <w:t>PN-EN 13285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Mieszanki niezwiązane. Wymagania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2.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 w:cs="Arial"/>
              </w:rPr>
              <w:t>PN-EN 13242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 w:cs="Arial"/>
              </w:rPr>
              <w:t>Kruszywa do niezwiązanych i związanych hydraulicznie materiałów stosowanych w obiektach budowlanych i budownictwie drogowym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3.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 w:cs="Arial"/>
              </w:rPr>
              <w:t>PN-B-06714-12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 w:cs="Arial"/>
              </w:rPr>
              <w:t>Kruszywa mineralne. Badania. Oznaczanie zawartości zanieczyszczeń obcych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4.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 w:cs="Arial"/>
              </w:rPr>
              <w:t>PN-B-04481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 w:cs="Arial"/>
              </w:rPr>
              <w:t>Grunty budowlane. Badania próbek gruntu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5.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 w:cs="Arial"/>
              </w:rPr>
              <w:t>BN-68/8931-04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 w:cs="Arial"/>
              </w:rPr>
              <w:t xml:space="preserve">Drogi samochodowe. Pomiar równości nawierzchni </w:t>
            </w:r>
            <w:proofErr w:type="spellStart"/>
            <w:r w:rsidRPr="001F6236">
              <w:rPr>
                <w:rFonts w:asciiTheme="minorHAnsi" w:hAnsiTheme="minorHAnsi" w:cs="Arial"/>
              </w:rPr>
              <w:t>planografem</w:t>
            </w:r>
            <w:proofErr w:type="spellEnd"/>
            <w:r w:rsidRPr="001F6236">
              <w:rPr>
                <w:rFonts w:asciiTheme="minorHAnsi" w:hAnsiTheme="minorHAnsi" w:cs="Arial"/>
              </w:rPr>
              <w:t xml:space="preserve"> i łatą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6.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 w:cs="Arial"/>
              </w:rPr>
              <w:t>BN-70/8931-06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 w:cs="Arial"/>
              </w:rPr>
              <w:t xml:space="preserve">Drogi samochodowe. Pomiar ugięć podatnych </w:t>
            </w:r>
            <w:proofErr w:type="spellStart"/>
            <w:r w:rsidRPr="001F6236">
              <w:rPr>
                <w:rFonts w:asciiTheme="minorHAnsi" w:hAnsiTheme="minorHAnsi" w:cs="Arial"/>
              </w:rPr>
              <w:t>ugięciomierzem</w:t>
            </w:r>
            <w:proofErr w:type="spellEnd"/>
            <w:r w:rsidRPr="001F6236">
              <w:rPr>
                <w:rFonts w:asciiTheme="minorHAnsi" w:hAnsiTheme="minorHAnsi" w:cs="Arial"/>
              </w:rPr>
              <w:t xml:space="preserve"> belkowym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7.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 w:cs="Arial"/>
              </w:rPr>
              <w:t>BN-77/8931-12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 w:cs="Arial"/>
              </w:rPr>
              <w:t>Oznaczanie wskaźnika zagęszczenia gruntu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8.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 w:cs="Arial"/>
              </w:rPr>
              <w:t>PN-78/B-06714/46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 w:cs="Arial"/>
              </w:rPr>
              <w:t>Kruszywa mineralne. Badania. Oznaczanie potencjalnej reaktywności alkalicznej metodą szybką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lastRenderedPageBreak/>
              <w:t>9.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PN-EN</w:t>
            </w:r>
            <w:r w:rsidR="002F2638">
              <w:rPr>
                <w:rFonts w:asciiTheme="minorHAnsi" w:hAnsiTheme="minorHAnsi" w:cs="Arial"/>
              </w:rPr>
              <w:t xml:space="preserve"> </w:t>
            </w:r>
            <w:r w:rsidRPr="001F6236">
              <w:rPr>
                <w:rFonts w:asciiTheme="minorHAnsi" w:hAnsiTheme="minorHAnsi" w:cs="Arial"/>
              </w:rPr>
              <w:t>933-1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Badania geometrycznych właściwości kruszyw. Oznaczanie składu ziarnowego. Metoda przesiewania.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10.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PN-EN 933-3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 xml:space="preserve">Badania geometrycznych właściwości kruszyw. Oznaczanie kształtu </w:t>
            </w:r>
            <w:proofErr w:type="spellStart"/>
            <w:r w:rsidRPr="001F6236">
              <w:rPr>
                <w:rFonts w:asciiTheme="minorHAnsi" w:hAnsiTheme="minorHAnsi" w:cs="Arial"/>
              </w:rPr>
              <w:t>ziarn</w:t>
            </w:r>
            <w:proofErr w:type="spellEnd"/>
            <w:r w:rsidRPr="001F6236">
              <w:rPr>
                <w:rFonts w:asciiTheme="minorHAnsi" w:hAnsiTheme="minorHAnsi" w:cs="Arial"/>
              </w:rPr>
              <w:t xml:space="preserve"> za pomocą wskaźnika płaskości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11.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PN-EN 933-4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 xml:space="preserve">Badania geometrycznych właściwości kruszyw. Część 4. Oznaczanie kształtu </w:t>
            </w:r>
            <w:proofErr w:type="spellStart"/>
            <w:r w:rsidRPr="001F6236">
              <w:rPr>
                <w:rFonts w:asciiTheme="minorHAnsi" w:hAnsiTheme="minorHAnsi" w:cs="Arial"/>
              </w:rPr>
              <w:t>ziarn</w:t>
            </w:r>
            <w:proofErr w:type="spellEnd"/>
            <w:r w:rsidRPr="001F6236">
              <w:rPr>
                <w:rFonts w:asciiTheme="minorHAnsi" w:hAnsiTheme="minorHAnsi" w:cs="Arial"/>
              </w:rPr>
              <w:t>. Wskaźnik kształtu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12.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PN-EN 933-5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 xml:space="preserve">Badania geometrycznych właściwości kruszyw. Oznaczanie procentowej zawartości </w:t>
            </w:r>
            <w:proofErr w:type="spellStart"/>
            <w:r w:rsidRPr="001F6236">
              <w:rPr>
                <w:rFonts w:asciiTheme="minorHAnsi" w:hAnsiTheme="minorHAnsi" w:cs="Arial"/>
              </w:rPr>
              <w:t>ziarn</w:t>
            </w:r>
            <w:proofErr w:type="spellEnd"/>
            <w:r w:rsidRPr="001F6236">
              <w:rPr>
                <w:rFonts w:asciiTheme="minorHAnsi" w:hAnsiTheme="minorHAnsi" w:cs="Arial"/>
              </w:rPr>
              <w:t xml:space="preserve"> o powierzchniach powstałych w wyniku </w:t>
            </w:r>
            <w:proofErr w:type="spellStart"/>
            <w:r w:rsidRPr="001F6236">
              <w:rPr>
                <w:rFonts w:asciiTheme="minorHAnsi" w:hAnsiTheme="minorHAnsi" w:cs="Arial"/>
              </w:rPr>
              <w:t>przekruszenia</w:t>
            </w:r>
            <w:proofErr w:type="spellEnd"/>
            <w:r w:rsidRPr="001F6236">
              <w:rPr>
                <w:rFonts w:asciiTheme="minorHAnsi" w:hAnsiTheme="minorHAnsi" w:cs="Arial"/>
              </w:rPr>
              <w:t xml:space="preserve"> lub łamania kruszyw grubych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13.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PN-EN 933-8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Badania geometrycznych właściwości kruszyw. Część 8: Ocena zawartości drobnych cząstek. Badanie wskaźnika piaskowego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14.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PN-EN 1097-1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Badania mechanicznych i fizycznych właściwości kruszyw. Oznaczanie odporności na ścieranie (mikro-</w:t>
            </w:r>
            <w:proofErr w:type="spellStart"/>
            <w:r w:rsidRPr="001F6236">
              <w:rPr>
                <w:rFonts w:asciiTheme="minorHAnsi" w:hAnsiTheme="minorHAnsi" w:cs="Arial"/>
              </w:rPr>
              <w:t>Deval</w:t>
            </w:r>
            <w:proofErr w:type="spellEnd"/>
            <w:r w:rsidRPr="001F6236">
              <w:rPr>
                <w:rFonts w:asciiTheme="minorHAnsi" w:hAnsiTheme="minorHAnsi" w:cs="Arial"/>
              </w:rPr>
              <w:t>)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15.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PN-EN 1097-2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Badania mechanicznych i fizycznych właściwości kruszyw. Metody oznaczania odporności na rozdrabnianie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16.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PN-EN1097-6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 xml:space="preserve">Badania mechanicznych i fizycznych właściwości kruszyw. Część 6: Oznaczanie gęstości </w:t>
            </w:r>
            <w:proofErr w:type="spellStart"/>
            <w:r w:rsidRPr="001F6236">
              <w:rPr>
                <w:rFonts w:asciiTheme="minorHAnsi" w:hAnsiTheme="minorHAnsi" w:cs="Arial"/>
              </w:rPr>
              <w:t>ziarn</w:t>
            </w:r>
            <w:proofErr w:type="spellEnd"/>
            <w:r w:rsidRPr="001F6236">
              <w:rPr>
                <w:rFonts w:asciiTheme="minorHAnsi" w:hAnsiTheme="minorHAnsi" w:cs="Arial"/>
              </w:rPr>
              <w:t xml:space="preserve"> i nasiąkliwości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17.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PN-EN 1367-1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Badania właściwości cieplnych i odporności kruszyw na działanie czynników atmosferycznych. Część 1: Oznaczanie mrozoodporności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18.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PN-EN 1367-3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Badania właściwości cieplnych i odporności kruszyw na działanie czynników atmosferycznych. Część 3: Badanie bazaltowej zgorzeli słonecznej metodą gotowania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19.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PN-EN 13286-2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 xml:space="preserve">Mieszanki mineralne niezwiązane i związane spoiwem hydraulicznym. Część 2: Metody badań dla ustalonej laboratoryjnie gęstości i wilgotności. Zagęszczenie aparatem </w:t>
            </w:r>
            <w:proofErr w:type="spellStart"/>
            <w:r w:rsidRPr="001F6236">
              <w:rPr>
                <w:rFonts w:asciiTheme="minorHAnsi" w:hAnsiTheme="minorHAnsi" w:cs="Arial"/>
              </w:rPr>
              <w:t>Proctora</w:t>
            </w:r>
            <w:proofErr w:type="spellEnd"/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20.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PN-EN 13286-47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Mieszanki mineralne niezwiązane i związane spoiwem hydraulicznym. Część 47: Metody badań dla określenia nośności, kalifornijski wskaźnik nośności CBR, natychmiastowy wskaźnik nośności i pęcznienia liniowego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21.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PN-EN 1744-1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Badania chemicznych właściwości kruszyw. Analiza chemiczna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22.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PN-EN 1744-3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Badania chemicznych właściwości kruszyw. Część 3: Przygotowanie wyciągów przez wymywanie kruszyw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1F6236">
              <w:rPr>
                <w:rFonts w:asciiTheme="minorHAnsi" w:hAnsiTheme="minorHAnsi"/>
                <w:lang w:eastAsia="pl-PL"/>
              </w:rPr>
              <w:t>23.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>PN-EN 1008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1F6236">
              <w:rPr>
                <w:rFonts w:asciiTheme="minorHAnsi" w:hAnsiTheme="minorHAnsi" w:cs="Arial"/>
              </w:rPr>
              <w:t xml:space="preserve">Woda zarobowa do betonu. </w:t>
            </w:r>
            <w:r w:rsidRPr="001F6236">
              <w:rPr>
                <w:rFonts w:asciiTheme="minorHAnsi" w:hAnsiTheme="minorHAnsi"/>
              </w:rPr>
              <w:t>Specyfikacja pobierania próbek, badanie i ocena przydatności wody zarobowej do betonu, w tym wody odzyskanej z procesów produkcji betonu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lang w:eastAsia="pl-PL"/>
              </w:rPr>
            </w:pPr>
            <w:r w:rsidRPr="001F6236">
              <w:rPr>
                <w:lang w:eastAsia="pl-PL"/>
              </w:rPr>
              <w:t>24.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cs="Arial"/>
              </w:rPr>
            </w:pPr>
            <w:r w:rsidRPr="001F6236">
              <w:rPr>
                <w:rFonts w:cs="Arial"/>
              </w:rPr>
              <w:t>PN-S-02205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1F6236">
              <w:t>Drogi samochodowe. Roboty ziemne. Wymagania i badania</w:t>
            </w:r>
          </w:p>
        </w:tc>
      </w:tr>
      <w:tr w:rsidR="00266E7D" w:rsidRPr="001F6236" w:rsidTr="00A30433">
        <w:tc>
          <w:tcPr>
            <w:tcW w:w="470" w:type="dxa"/>
          </w:tcPr>
          <w:p w:rsidR="00266E7D" w:rsidRPr="001F6236" w:rsidRDefault="00266E7D" w:rsidP="00A30433">
            <w:pPr>
              <w:spacing w:line="360" w:lineRule="auto"/>
              <w:rPr>
                <w:lang w:eastAsia="pl-PL"/>
              </w:rPr>
            </w:pPr>
            <w:r w:rsidRPr="001F6236">
              <w:rPr>
                <w:lang w:eastAsia="pl-PL"/>
              </w:rPr>
              <w:t>25.</w:t>
            </w:r>
          </w:p>
        </w:tc>
        <w:tc>
          <w:tcPr>
            <w:tcW w:w="1765" w:type="dxa"/>
          </w:tcPr>
          <w:p w:rsidR="00266E7D" w:rsidRPr="001F6236" w:rsidRDefault="00266E7D" w:rsidP="00A30433">
            <w:pPr>
              <w:spacing w:line="360" w:lineRule="auto"/>
              <w:rPr>
                <w:rFonts w:cs="Arial"/>
              </w:rPr>
            </w:pPr>
            <w:r w:rsidRPr="001F6236">
              <w:t>PN-S-06102</w:t>
            </w:r>
          </w:p>
        </w:tc>
        <w:tc>
          <w:tcPr>
            <w:tcW w:w="7229" w:type="dxa"/>
          </w:tcPr>
          <w:p w:rsidR="00266E7D" w:rsidRPr="001F6236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</w:pPr>
            <w:r w:rsidRPr="001F6236">
              <w:t>Drogi samochodowe. Podbudowy z kruszyw stabilizowanych mechanicznie</w:t>
            </w:r>
          </w:p>
        </w:tc>
      </w:tr>
      <w:tr w:rsidR="001F6236" w:rsidRPr="001F6236" w:rsidTr="00A30433">
        <w:tc>
          <w:tcPr>
            <w:tcW w:w="470" w:type="dxa"/>
          </w:tcPr>
          <w:p w:rsidR="001F6236" w:rsidRPr="001F6236" w:rsidRDefault="001F6236" w:rsidP="00A30433">
            <w:pPr>
              <w:spacing w:line="360" w:lineRule="auto"/>
              <w:rPr>
                <w:lang w:eastAsia="pl-PL"/>
              </w:rPr>
            </w:pPr>
            <w:r w:rsidRPr="001F6236">
              <w:rPr>
                <w:lang w:eastAsia="pl-PL"/>
              </w:rPr>
              <w:t>26.</w:t>
            </w:r>
          </w:p>
        </w:tc>
        <w:tc>
          <w:tcPr>
            <w:tcW w:w="1765" w:type="dxa"/>
          </w:tcPr>
          <w:p w:rsidR="001F6236" w:rsidRPr="001F6236" w:rsidRDefault="001F6236" w:rsidP="00A30433">
            <w:pPr>
              <w:spacing w:line="360" w:lineRule="auto"/>
            </w:pPr>
            <w:r w:rsidRPr="001F6236">
              <w:rPr>
                <w:rFonts w:eastAsia="Arial"/>
              </w:rPr>
              <w:t>PN-B-06714-15</w:t>
            </w:r>
          </w:p>
        </w:tc>
        <w:tc>
          <w:tcPr>
            <w:tcW w:w="7229" w:type="dxa"/>
          </w:tcPr>
          <w:p w:rsidR="001F6236" w:rsidRPr="001F6236" w:rsidRDefault="001F6236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</w:pPr>
            <w:r w:rsidRPr="001F6236">
              <w:t>Kruszywa mineralne -- Badania -- Oznaczanie składu ziarnowego</w:t>
            </w:r>
          </w:p>
        </w:tc>
      </w:tr>
      <w:tr w:rsidR="001F6236" w:rsidRPr="001F6236" w:rsidTr="00A30433">
        <w:tc>
          <w:tcPr>
            <w:tcW w:w="470" w:type="dxa"/>
          </w:tcPr>
          <w:p w:rsidR="001F6236" w:rsidRPr="001F6236" w:rsidRDefault="001F6236" w:rsidP="00A30433">
            <w:pPr>
              <w:spacing w:line="360" w:lineRule="auto"/>
              <w:rPr>
                <w:lang w:eastAsia="pl-PL"/>
              </w:rPr>
            </w:pPr>
            <w:r>
              <w:rPr>
                <w:lang w:eastAsia="pl-PL"/>
              </w:rPr>
              <w:t>27.</w:t>
            </w:r>
          </w:p>
        </w:tc>
        <w:tc>
          <w:tcPr>
            <w:tcW w:w="1765" w:type="dxa"/>
          </w:tcPr>
          <w:p w:rsidR="001F6236" w:rsidRPr="001F6236" w:rsidRDefault="001F6236" w:rsidP="00A30433">
            <w:pPr>
              <w:spacing w:line="360" w:lineRule="auto"/>
            </w:pPr>
            <w:r w:rsidRPr="001F6236">
              <w:rPr>
                <w:rFonts w:eastAsia="Arial"/>
              </w:rPr>
              <w:t>PN-B-</w:t>
            </w:r>
            <w:r w:rsidRPr="00A521EF">
              <w:rPr>
                <w:rFonts w:eastAsia="Arial"/>
              </w:rPr>
              <w:t>06714-16</w:t>
            </w:r>
          </w:p>
        </w:tc>
        <w:tc>
          <w:tcPr>
            <w:tcW w:w="7229" w:type="dxa"/>
          </w:tcPr>
          <w:p w:rsidR="001F6236" w:rsidRPr="001F6236" w:rsidRDefault="002F2638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</w:pPr>
            <w:r>
              <w:t xml:space="preserve">Kruszywa mineralne -- Badania -- Oznaczanie kształtu </w:t>
            </w:r>
            <w:proofErr w:type="spellStart"/>
            <w:r>
              <w:t>ziarn</w:t>
            </w:r>
            <w:proofErr w:type="spellEnd"/>
          </w:p>
        </w:tc>
      </w:tr>
      <w:tr w:rsidR="001F6236" w:rsidRPr="001F6236" w:rsidTr="00A30433">
        <w:tc>
          <w:tcPr>
            <w:tcW w:w="470" w:type="dxa"/>
          </w:tcPr>
          <w:p w:rsidR="001F6236" w:rsidRPr="001F6236" w:rsidRDefault="002F2638" w:rsidP="00A30433">
            <w:pPr>
              <w:spacing w:line="360" w:lineRule="auto"/>
              <w:rPr>
                <w:lang w:eastAsia="pl-PL"/>
              </w:rPr>
            </w:pPr>
            <w:r>
              <w:rPr>
                <w:lang w:eastAsia="pl-PL"/>
              </w:rPr>
              <w:t>28.</w:t>
            </w:r>
          </w:p>
        </w:tc>
        <w:tc>
          <w:tcPr>
            <w:tcW w:w="1765" w:type="dxa"/>
          </w:tcPr>
          <w:p w:rsidR="001F6236" w:rsidRPr="002F2638" w:rsidRDefault="002F2638" w:rsidP="00A30433">
            <w:pPr>
              <w:spacing w:line="360" w:lineRule="auto"/>
              <w:rPr>
                <w:b/>
              </w:rPr>
            </w:pPr>
            <w:r>
              <w:t>PN-B-</w:t>
            </w:r>
            <w:r w:rsidRPr="00A521EF">
              <w:t>06714-42</w:t>
            </w:r>
          </w:p>
        </w:tc>
        <w:tc>
          <w:tcPr>
            <w:tcW w:w="7229" w:type="dxa"/>
          </w:tcPr>
          <w:p w:rsidR="001F6236" w:rsidRPr="001F6236" w:rsidRDefault="002F2638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</w:pPr>
            <w:r>
              <w:t>Kruszywa mineralne -- Badania -- Oznaczanie ścieralności w bębnie Los Angeles</w:t>
            </w:r>
          </w:p>
        </w:tc>
      </w:tr>
      <w:tr w:rsidR="002F2638" w:rsidRPr="001F6236" w:rsidTr="00A30433">
        <w:tc>
          <w:tcPr>
            <w:tcW w:w="470" w:type="dxa"/>
          </w:tcPr>
          <w:p w:rsidR="002F2638" w:rsidRDefault="002F2638" w:rsidP="00A30433">
            <w:pPr>
              <w:spacing w:line="360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29.</w:t>
            </w:r>
          </w:p>
        </w:tc>
        <w:tc>
          <w:tcPr>
            <w:tcW w:w="1765" w:type="dxa"/>
          </w:tcPr>
          <w:p w:rsidR="002F2638" w:rsidRDefault="002F2638" w:rsidP="00A30433">
            <w:pPr>
              <w:spacing w:line="360" w:lineRule="auto"/>
            </w:pPr>
            <w:r>
              <w:t>PN-B-0</w:t>
            </w:r>
            <w:r w:rsidRPr="00A521EF">
              <w:t>6714-18</w:t>
            </w:r>
          </w:p>
        </w:tc>
        <w:tc>
          <w:tcPr>
            <w:tcW w:w="7229" w:type="dxa"/>
          </w:tcPr>
          <w:p w:rsidR="002F2638" w:rsidRDefault="002F2638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</w:pPr>
            <w:r>
              <w:t>Kruszywa mineralne -- Badania -- Oznaczanie nasiąkliwości</w:t>
            </w:r>
          </w:p>
        </w:tc>
      </w:tr>
      <w:tr w:rsidR="002F2638" w:rsidRPr="001F6236" w:rsidTr="00A30433">
        <w:tc>
          <w:tcPr>
            <w:tcW w:w="470" w:type="dxa"/>
          </w:tcPr>
          <w:p w:rsidR="002F2638" w:rsidRDefault="002F2638" w:rsidP="00A30433">
            <w:pPr>
              <w:spacing w:line="360" w:lineRule="auto"/>
              <w:rPr>
                <w:lang w:eastAsia="pl-PL"/>
              </w:rPr>
            </w:pPr>
            <w:r>
              <w:rPr>
                <w:lang w:eastAsia="pl-PL"/>
              </w:rPr>
              <w:t>30.</w:t>
            </w:r>
          </w:p>
        </w:tc>
        <w:tc>
          <w:tcPr>
            <w:tcW w:w="1765" w:type="dxa"/>
          </w:tcPr>
          <w:p w:rsidR="002F2638" w:rsidRDefault="002F2638" w:rsidP="00A30433">
            <w:pPr>
              <w:spacing w:line="360" w:lineRule="auto"/>
            </w:pPr>
            <w:r w:rsidRPr="00A521EF">
              <w:t>PN-B-06714-19</w:t>
            </w:r>
          </w:p>
        </w:tc>
        <w:tc>
          <w:tcPr>
            <w:tcW w:w="7229" w:type="dxa"/>
          </w:tcPr>
          <w:p w:rsidR="002F2638" w:rsidRDefault="002F2638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</w:pPr>
            <w:r>
              <w:t>Kruszywa mineralne -- Badania -- Oznaczanie mrozoodporności metodą bezpośrednią</w:t>
            </w:r>
          </w:p>
        </w:tc>
      </w:tr>
      <w:tr w:rsidR="002F2638" w:rsidRPr="001F6236" w:rsidTr="002F2638">
        <w:tc>
          <w:tcPr>
            <w:tcW w:w="470" w:type="dxa"/>
          </w:tcPr>
          <w:p w:rsidR="002F2638" w:rsidRDefault="002F2638" w:rsidP="00A30433">
            <w:pPr>
              <w:spacing w:line="360" w:lineRule="auto"/>
              <w:rPr>
                <w:lang w:eastAsia="pl-PL"/>
              </w:rPr>
            </w:pPr>
            <w:r>
              <w:rPr>
                <w:lang w:eastAsia="pl-PL"/>
              </w:rPr>
              <w:t>31.</w:t>
            </w:r>
          </w:p>
        </w:tc>
        <w:tc>
          <w:tcPr>
            <w:tcW w:w="1765" w:type="dxa"/>
          </w:tcPr>
          <w:p w:rsidR="002F2638" w:rsidRDefault="002F2638" w:rsidP="002F2638">
            <w:pPr>
              <w:spacing w:line="360" w:lineRule="auto"/>
            </w:pPr>
            <w:r>
              <w:t>PN-B-</w:t>
            </w:r>
            <w:r w:rsidRPr="00A521EF">
              <w:t>06714-28</w:t>
            </w:r>
          </w:p>
        </w:tc>
        <w:tc>
          <w:tcPr>
            <w:tcW w:w="7229" w:type="dxa"/>
          </w:tcPr>
          <w:p w:rsidR="002F2638" w:rsidRDefault="002F2638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</w:pPr>
            <w:r>
              <w:t>Kruszywa mineralne -- Badania -- Oznaczanie zawartości siarki metodą bromową</w:t>
            </w:r>
          </w:p>
        </w:tc>
      </w:tr>
      <w:tr w:rsidR="002F2638" w:rsidRPr="001F6236" w:rsidTr="002F2638">
        <w:tc>
          <w:tcPr>
            <w:tcW w:w="470" w:type="dxa"/>
          </w:tcPr>
          <w:p w:rsidR="002F2638" w:rsidRDefault="002F2638" w:rsidP="00A30433">
            <w:pPr>
              <w:spacing w:line="360" w:lineRule="auto"/>
              <w:rPr>
                <w:lang w:eastAsia="pl-PL"/>
              </w:rPr>
            </w:pPr>
            <w:r>
              <w:rPr>
                <w:lang w:eastAsia="pl-PL"/>
              </w:rPr>
              <w:t>32.</w:t>
            </w:r>
          </w:p>
        </w:tc>
        <w:tc>
          <w:tcPr>
            <w:tcW w:w="1765" w:type="dxa"/>
          </w:tcPr>
          <w:p w:rsidR="002F2638" w:rsidRDefault="002F2638" w:rsidP="00A30433">
            <w:pPr>
              <w:spacing w:line="360" w:lineRule="auto"/>
            </w:pPr>
            <w:r w:rsidRPr="002F2638">
              <w:t>BN-64/8931-02</w:t>
            </w:r>
          </w:p>
        </w:tc>
        <w:tc>
          <w:tcPr>
            <w:tcW w:w="7229" w:type="dxa"/>
          </w:tcPr>
          <w:p w:rsidR="002F2638" w:rsidRPr="002F2638" w:rsidRDefault="00C313D3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jc w:val="left"/>
            </w:pPr>
            <w:hyperlink r:id="rId9" w:history="1">
              <w:r w:rsidR="002F2638" w:rsidRPr="002F2638">
                <w:rPr>
                  <w:rStyle w:val="Hipercze"/>
                  <w:rFonts w:eastAsia="TimesNewRoman,Bold"/>
                  <w:color w:val="auto"/>
                  <w:u w:val="none"/>
                </w:rPr>
                <w:t>Drogi samochodowe - Oznaczanie modułu odkszt</w:t>
              </w:r>
              <w:r w:rsidR="002F2638">
                <w:rPr>
                  <w:rStyle w:val="Hipercze"/>
                  <w:rFonts w:eastAsia="TimesNewRoman,Bold"/>
                  <w:color w:val="auto"/>
                  <w:u w:val="none"/>
                </w:rPr>
                <w:t>ałcenia nawierzchni podatnych i </w:t>
              </w:r>
              <w:r w:rsidR="002F2638" w:rsidRPr="002F2638">
                <w:rPr>
                  <w:rStyle w:val="Hipercze"/>
                  <w:rFonts w:eastAsia="TimesNewRoman,Bold"/>
                  <w:color w:val="auto"/>
                  <w:u w:val="none"/>
                </w:rPr>
                <w:t xml:space="preserve">podłoża przez obciążenie płytą </w:t>
              </w:r>
            </w:hyperlink>
          </w:p>
        </w:tc>
      </w:tr>
    </w:tbl>
    <w:p w:rsidR="00266E7D" w:rsidRPr="002F2638" w:rsidRDefault="00266E7D" w:rsidP="00266E7D">
      <w:pPr>
        <w:pStyle w:val="Nagwek2"/>
        <w:numPr>
          <w:ilvl w:val="1"/>
          <w:numId w:val="41"/>
        </w:numPr>
        <w:spacing w:before="120"/>
        <w:rPr>
          <w:sz w:val="20"/>
          <w:szCs w:val="20"/>
        </w:rPr>
      </w:pPr>
      <w:r w:rsidRPr="002F2638">
        <w:rPr>
          <w:sz w:val="20"/>
          <w:szCs w:val="20"/>
        </w:rPr>
        <w:t>Inne dokumenty</w:t>
      </w:r>
    </w:p>
    <w:tbl>
      <w:tblPr>
        <w:tblStyle w:val="Tabela-Siatk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9136"/>
      </w:tblGrid>
      <w:tr w:rsidR="00266E7D" w:rsidRPr="002F2638" w:rsidTr="00A30433">
        <w:tc>
          <w:tcPr>
            <w:tcW w:w="470" w:type="dxa"/>
          </w:tcPr>
          <w:p w:rsidR="00266E7D" w:rsidRPr="002F2638" w:rsidRDefault="002F2638" w:rsidP="002F2638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2F2638">
              <w:rPr>
                <w:rFonts w:asciiTheme="minorHAnsi" w:hAnsiTheme="minorHAnsi" w:cs="Arial"/>
              </w:rPr>
              <w:t>33</w:t>
            </w:r>
            <w:r w:rsidR="00266E7D" w:rsidRPr="002F2638">
              <w:rPr>
                <w:rFonts w:asciiTheme="minorHAnsi" w:hAnsiTheme="minorHAnsi" w:cs="Arial"/>
              </w:rPr>
              <w:t>.</w:t>
            </w:r>
          </w:p>
        </w:tc>
        <w:tc>
          <w:tcPr>
            <w:tcW w:w="9136" w:type="dxa"/>
          </w:tcPr>
          <w:p w:rsidR="00266E7D" w:rsidRPr="002F2638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2F2638">
              <w:rPr>
                <w:rFonts w:asciiTheme="minorHAnsi" w:hAnsiTheme="minorHAnsi" w:cs="Arial"/>
              </w:rPr>
              <w:t>WT-4 2010 Wymagania Techniczne. Mieszanki niezwiązane do dróg krajowych</w:t>
            </w:r>
          </w:p>
        </w:tc>
      </w:tr>
      <w:tr w:rsidR="00266E7D" w:rsidRPr="002F2638" w:rsidTr="00A30433">
        <w:tc>
          <w:tcPr>
            <w:tcW w:w="470" w:type="dxa"/>
          </w:tcPr>
          <w:p w:rsidR="00266E7D" w:rsidRPr="002F2638" w:rsidRDefault="002F2638" w:rsidP="00A30433">
            <w:pPr>
              <w:spacing w:line="360" w:lineRule="auto"/>
              <w:rPr>
                <w:lang w:eastAsia="pl-PL"/>
              </w:rPr>
            </w:pPr>
            <w:r w:rsidRPr="002F2638">
              <w:rPr>
                <w:lang w:eastAsia="pl-PL"/>
              </w:rPr>
              <w:t>34</w:t>
            </w:r>
            <w:r w:rsidR="00266E7D" w:rsidRPr="002F2638">
              <w:rPr>
                <w:lang w:eastAsia="pl-PL"/>
              </w:rPr>
              <w:t>.</w:t>
            </w:r>
          </w:p>
        </w:tc>
        <w:tc>
          <w:tcPr>
            <w:tcW w:w="9136" w:type="dxa"/>
          </w:tcPr>
          <w:p w:rsidR="00266E7D" w:rsidRPr="002F2638" w:rsidRDefault="00266E7D" w:rsidP="00A30433">
            <w:pPr>
              <w:spacing w:line="360" w:lineRule="auto"/>
              <w:rPr>
                <w:rFonts w:asciiTheme="minorHAnsi" w:hAnsiTheme="minorHAnsi"/>
                <w:lang w:eastAsia="pl-PL"/>
              </w:rPr>
            </w:pPr>
            <w:r w:rsidRPr="002F2638">
              <w:rPr>
                <w:rFonts w:asciiTheme="minorHAnsi" w:hAnsiTheme="minorHAnsi" w:cs="Arial"/>
              </w:rPr>
              <w:t xml:space="preserve">Katalog typowych konstrukcji nawierzchni podatnych i półsztywnych, </w:t>
            </w:r>
            <w:proofErr w:type="spellStart"/>
            <w:r w:rsidRPr="002F2638">
              <w:rPr>
                <w:rFonts w:asciiTheme="minorHAnsi" w:hAnsiTheme="minorHAnsi" w:cs="Arial"/>
              </w:rPr>
              <w:t>IBDiM</w:t>
            </w:r>
            <w:proofErr w:type="spellEnd"/>
            <w:r w:rsidRPr="002F2638">
              <w:rPr>
                <w:rFonts w:asciiTheme="minorHAnsi" w:hAnsiTheme="minorHAnsi" w:cs="Arial"/>
              </w:rPr>
              <w:t xml:space="preserve"> - Warszawa 1997</w:t>
            </w:r>
          </w:p>
        </w:tc>
      </w:tr>
      <w:tr w:rsidR="00266E7D" w:rsidRPr="002F2638" w:rsidTr="00A30433">
        <w:tc>
          <w:tcPr>
            <w:tcW w:w="470" w:type="dxa"/>
          </w:tcPr>
          <w:p w:rsidR="00266E7D" w:rsidRPr="002F2638" w:rsidRDefault="002F2638" w:rsidP="00A30433">
            <w:pPr>
              <w:spacing w:line="360" w:lineRule="auto"/>
              <w:rPr>
                <w:lang w:eastAsia="pl-PL"/>
              </w:rPr>
            </w:pPr>
            <w:r w:rsidRPr="002F2638">
              <w:rPr>
                <w:lang w:eastAsia="pl-PL"/>
              </w:rPr>
              <w:t>35</w:t>
            </w:r>
            <w:r w:rsidR="00266E7D" w:rsidRPr="002F2638">
              <w:rPr>
                <w:lang w:eastAsia="pl-PL"/>
              </w:rPr>
              <w:t>.</w:t>
            </w:r>
          </w:p>
        </w:tc>
        <w:tc>
          <w:tcPr>
            <w:tcW w:w="9136" w:type="dxa"/>
          </w:tcPr>
          <w:p w:rsidR="00266E7D" w:rsidRPr="002F2638" w:rsidRDefault="00266E7D" w:rsidP="00A30433">
            <w:pPr>
              <w:tabs>
                <w:tab w:val="clear" w:pos="284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HAnsi" w:hAnsiTheme="minorHAnsi"/>
                <w:lang w:eastAsia="pl-PL"/>
              </w:rPr>
            </w:pPr>
            <w:r w:rsidRPr="002F2638">
              <w:rPr>
                <w:rFonts w:asciiTheme="minorHAnsi" w:hAnsiTheme="minorHAnsi" w:cs="Arial"/>
              </w:rPr>
              <w:t>Instrukcja ITB Nr 234/95. Wytyczne badania promieniotwórczości naturalnej surowców i materiałów Budowlanych</w:t>
            </w:r>
          </w:p>
        </w:tc>
      </w:tr>
    </w:tbl>
    <w:p w:rsidR="00B76A35" w:rsidRPr="002F2638" w:rsidRDefault="00B76A35" w:rsidP="00266E7D">
      <w:pPr>
        <w:rPr>
          <w:sz w:val="20"/>
          <w:szCs w:val="20"/>
          <w:lang w:eastAsia="pl-PL"/>
        </w:rPr>
      </w:pPr>
    </w:p>
    <w:sectPr w:rsidR="00B76A35" w:rsidRPr="002F2638" w:rsidSect="00F5763F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134" w:right="1134" w:bottom="1134" w:left="1418" w:header="709" w:footer="283" w:gutter="0"/>
      <w:pgNumType w:start="7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3D3" w:rsidRDefault="00C313D3" w:rsidP="008C7A31">
      <w:pPr>
        <w:spacing w:line="240" w:lineRule="auto"/>
      </w:pPr>
      <w:r>
        <w:separator/>
      </w:r>
    </w:p>
  </w:endnote>
  <w:endnote w:type="continuationSeparator" w:id="0">
    <w:p w:rsidR="00C313D3" w:rsidRDefault="00C313D3" w:rsidP="008C7A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6456521"/>
      <w:docPartObj>
        <w:docPartGallery w:val="Page Numbers (Bottom of Page)"/>
        <w:docPartUnique/>
      </w:docPartObj>
    </w:sdtPr>
    <w:sdtEndPr/>
    <w:sdtContent>
      <w:p w:rsidR="001F6236" w:rsidRDefault="00DC1AD6" w:rsidP="008C7A31">
        <w:pPr>
          <w:pStyle w:val="Stopka"/>
          <w:pBdr>
            <w:top w:val="single" w:sz="4" w:space="1" w:color="auto"/>
          </w:pBd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7AF9">
          <w:rPr>
            <w:noProof/>
          </w:rPr>
          <w:t>126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6456520"/>
      <w:docPartObj>
        <w:docPartGallery w:val="Page Numbers (Bottom of Page)"/>
        <w:docPartUnique/>
      </w:docPartObj>
    </w:sdtPr>
    <w:sdtEndPr/>
    <w:sdtContent>
      <w:p w:rsidR="001F6236" w:rsidRDefault="00DC1AD6" w:rsidP="00017AF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6D7">
          <w:rPr>
            <w:noProof/>
          </w:rPr>
          <w:t>84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7769775"/>
      <w:docPartObj>
        <w:docPartGallery w:val="Page Numbers (Bottom of Page)"/>
        <w:docPartUnique/>
      </w:docPartObj>
    </w:sdtPr>
    <w:sdtEndPr/>
    <w:sdtContent>
      <w:p w:rsidR="00CD67E1" w:rsidRDefault="00CD67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6D7">
          <w:rPr>
            <w:noProof/>
          </w:rPr>
          <w:t>74</w:t>
        </w:r>
        <w:r>
          <w:fldChar w:fldCharType="end"/>
        </w:r>
      </w:p>
    </w:sdtContent>
  </w:sdt>
  <w:p w:rsidR="00017AF9" w:rsidRDefault="00017A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3D3" w:rsidRDefault="00C313D3" w:rsidP="008C7A31">
      <w:pPr>
        <w:spacing w:line="240" w:lineRule="auto"/>
      </w:pPr>
      <w:r>
        <w:separator/>
      </w:r>
    </w:p>
  </w:footnote>
  <w:footnote w:type="continuationSeparator" w:id="0">
    <w:p w:rsidR="00C313D3" w:rsidRDefault="00C313D3" w:rsidP="008C7A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AF9" w:rsidRPr="0093623D" w:rsidRDefault="00017AF9" w:rsidP="00256C48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noProof/>
        <w:szCs w:val="3276"/>
        <w:lang w:eastAsia="pl-PL"/>
      </w:rPr>
      <w:drawing>
        <wp:anchor distT="0" distB="0" distL="114300" distR="114300" simplePos="0" relativeHeight="251661312" behindDoc="0" locked="0" layoutInCell="1" allowOverlap="1" wp14:anchorId="3108EE3D" wp14:editId="3EA86E74">
          <wp:simplePos x="0" y="0"/>
          <wp:positionH relativeFrom="column">
            <wp:posOffset>-61595</wp:posOffset>
          </wp:positionH>
          <wp:positionV relativeFrom="paragraph">
            <wp:posOffset>-230505</wp:posOffset>
          </wp:positionV>
          <wp:extent cx="1780540" cy="110426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540" cy="1104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623D">
      <w:rPr>
        <w:rFonts w:ascii="Times New Roman" w:hAnsi="Times New Roman"/>
        <w:b/>
        <w:szCs w:val="20"/>
      </w:rPr>
      <w:t>Projektów Budowlanych</w:t>
    </w:r>
  </w:p>
  <w:p w:rsidR="00017AF9" w:rsidRPr="0093623D" w:rsidRDefault="00017AF9" w:rsidP="00256C48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017AF9" w:rsidRPr="0093623D" w:rsidRDefault="00017AF9" w:rsidP="00256C48">
    <w:pPr>
      <w:spacing w:line="240" w:lineRule="auto"/>
      <w:jc w:val="right"/>
      <w:rPr>
        <w:rFonts w:ascii="Times New Roman" w:hAnsi="Times New Roman"/>
        <w:szCs w:val="20"/>
      </w:rPr>
    </w:pPr>
    <w:proofErr w:type="gramStart"/>
    <w:r w:rsidRPr="0093623D">
      <w:rPr>
        <w:rFonts w:ascii="Times New Roman" w:hAnsi="Times New Roman"/>
        <w:szCs w:val="20"/>
      </w:rPr>
      <w:t>ul</w:t>
    </w:r>
    <w:proofErr w:type="gramEnd"/>
    <w:r w:rsidRPr="0093623D">
      <w:rPr>
        <w:rFonts w:ascii="Times New Roman" w:hAnsi="Times New Roman"/>
        <w:szCs w:val="20"/>
      </w:rPr>
      <w:t xml:space="preserve">. </w:t>
    </w:r>
    <w:r>
      <w:rPr>
        <w:szCs w:val="20"/>
      </w:rPr>
      <w:t xml:space="preserve">Bartosza Głowackiego 18, 87-100 Toruń </w:t>
    </w:r>
  </w:p>
  <w:p w:rsidR="00017AF9" w:rsidRPr="00F5763F" w:rsidRDefault="00017AF9" w:rsidP="00256C48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jc w:val="right"/>
      <w:rPr>
        <w:rFonts w:ascii="Times New Roman" w:hAnsi="Times New Roman"/>
        <w:szCs w:val="20"/>
        <w:lang w:val="en-US"/>
      </w:rPr>
    </w:pPr>
    <w:r w:rsidRPr="00F5763F">
      <w:rPr>
        <w:rFonts w:ascii="Times New Roman" w:hAnsi="Times New Roman"/>
        <w:szCs w:val="20"/>
        <w:lang w:val="en-US"/>
      </w:rPr>
      <w:t xml:space="preserve">Tel. 723-071-098 </w:t>
    </w:r>
  </w:p>
  <w:p w:rsidR="00017AF9" w:rsidRPr="00F5763F" w:rsidRDefault="00017AF9" w:rsidP="00256C48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jc w:val="right"/>
      <w:rPr>
        <w:rFonts w:ascii="Times New Roman" w:hAnsi="Times New Roman"/>
        <w:szCs w:val="20"/>
        <w:lang w:val="en-US"/>
      </w:rPr>
    </w:pPr>
    <w:proofErr w:type="gramStart"/>
    <w:r w:rsidRPr="00F5763F">
      <w:rPr>
        <w:rFonts w:ascii="Times New Roman" w:hAnsi="Times New Roman"/>
        <w:szCs w:val="20"/>
        <w:lang w:val="en-US"/>
      </w:rPr>
      <w:t>e-mail</w:t>
    </w:r>
    <w:proofErr w:type="gramEnd"/>
    <w:r w:rsidRPr="00F5763F">
      <w:rPr>
        <w:rFonts w:ascii="Times New Roman" w:hAnsi="Times New Roman"/>
        <w:szCs w:val="20"/>
        <w:lang w:val="en-US"/>
      </w:rPr>
      <w:t xml:space="preserve">: </w:t>
    </w:r>
    <w:r w:rsidRPr="00F5763F">
      <w:rPr>
        <w:rFonts w:ascii="Times New Roman" w:hAnsi="Times New Roman"/>
        <w:lang w:val="en-US"/>
      </w:rPr>
      <w:t>biuro@bpb.net.pl</w:t>
    </w:r>
  </w:p>
  <w:p w:rsidR="001F6236" w:rsidRPr="00E26331" w:rsidRDefault="001F6236" w:rsidP="008C7A31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63F" w:rsidRPr="00E808BB" w:rsidRDefault="00F5763F" w:rsidP="00F5763F">
    <w:pPr>
      <w:spacing w:line="240" w:lineRule="auto"/>
      <w:jc w:val="right"/>
      <w:rPr>
        <w:rFonts w:cs="Times New Roman"/>
        <w:b/>
        <w:sz w:val="20"/>
        <w:szCs w:val="20"/>
      </w:rPr>
    </w:pPr>
    <w:r w:rsidRPr="00E808BB">
      <w:rPr>
        <w:rFonts w:cs="Times New Roman"/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52BE3234" wp14:editId="6598D685">
          <wp:simplePos x="0" y="0"/>
          <wp:positionH relativeFrom="column">
            <wp:posOffset>-61595</wp:posOffset>
          </wp:positionH>
          <wp:positionV relativeFrom="paragraph">
            <wp:posOffset>-230505</wp:posOffset>
          </wp:positionV>
          <wp:extent cx="1780540" cy="110426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540" cy="1104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08BB">
      <w:rPr>
        <w:rFonts w:cs="Times New Roman"/>
        <w:b/>
        <w:sz w:val="20"/>
        <w:szCs w:val="20"/>
      </w:rPr>
      <w:t>Biuro Projektów Budowlanych</w:t>
    </w:r>
  </w:p>
  <w:p w:rsidR="00F5763F" w:rsidRPr="00E808BB" w:rsidRDefault="00F5763F" w:rsidP="00F5763F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jc w:val="right"/>
      <w:rPr>
        <w:rFonts w:cs="Times New Roman"/>
        <w:sz w:val="20"/>
        <w:szCs w:val="20"/>
      </w:rPr>
    </w:pPr>
    <w:r w:rsidRPr="00E808BB">
      <w:rPr>
        <w:rFonts w:cs="Times New Roman"/>
        <w:sz w:val="20"/>
        <w:szCs w:val="20"/>
      </w:rPr>
      <w:t xml:space="preserve">Tel. 723-071-098 </w:t>
    </w:r>
  </w:p>
  <w:p w:rsidR="00F5763F" w:rsidRPr="008F4A37" w:rsidRDefault="00F5763F" w:rsidP="00F5763F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jc w:val="right"/>
      <w:rPr>
        <w:rFonts w:cs="Times New Roman"/>
        <w:sz w:val="20"/>
        <w:szCs w:val="20"/>
      </w:rPr>
    </w:pPr>
    <w:proofErr w:type="gramStart"/>
    <w:r w:rsidRPr="008F4A37">
      <w:rPr>
        <w:rFonts w:cs="Times New Roman"/>
        <w:sz w:val="20"/>
        <w:szCs w:val="20"/>
      </w:rPr>
      <w:t>e-mail</w:t>
    </w:r>
    <w:proofErr w:type="gramEnd"/>
    <w:r w:rsidRPr="008F4A37">
      <w:rPr>
        <w:rFonts w:cs="Times New Roman"/>
        <w:sz w:val="20"/>
        <w:szCs w:val="20"/>
      </w:rPr>
      <w:t>: biuro@bpb.</w:t>
    </w:r>
    <w:proofErr w:type="gramStart"/>
    <w:r w:rsidRPr="008F4A37">
      <w:rPr>
        <w:rFonts w:cs="Times New Roman"/>
        <w:sz w:val="20"/>
        <w:szCs w:val="20"/>
      </w:rPr>
      <w:t>net</w:t>
    </w:r>
    <w:proofErr w:type="gramEnd"/>
    <w:r w:rsidRPr="008F4A37">
      <w:rPr>
        <w:rFonts w:cs="Times New Roman"/>
        <w:sz w:val="20"/>
        <w:szCs w:val="20"/>
      </w:rPr>
      <w:t>.</w:t>
    </w:r>
    <w:proofErr w:type="gramStart"/>
    <w:r w:rsidRPr="008F4A37">
      <w:rPr>
        <w:rFonts w:cs="Times New Roman"/>
        <w:sz w:val="20"/>
        <w:szCs w:val="20"/>
      </w:rPr>
      <w:t>pl</w:t>
    </w:r>
    <w:proofErr w:type="gramEnd"/>
  </w:p>
  <w:p w:rsidR="00F5763F" w:rsidRPr="008F4A37" w:rsidRDefault="00F5763F" w:rsidP="00F5763F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rFonts w:cs="Times New Roman"/>
        <w:sz w:val="20"/>
        <w:szCs w:val="20"/>
      </w:rPr>
    </w:pPr>
  </w:p>
  <w:p w:rsidR="001F6236" w:rsidRPr="00F5763F" w:rsidRDefault="001F6236" w:rsidP="00F5763F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rPr>
        <w:rFonts w:ascii="Times New Roman" w:hAnsi="Times New Roman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hybridMultilevel"/>
    <w:tmpl w:val="1190CDE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962E41"/>
    <w:multiLevelType w:val="hybridMultilevel"/>
    <w:tmpl w:val="83746C2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30D95"/>
    <w:multiLevelType w:val="hybridMultilevel"/>
    <w:tmpl w:val="7A9E94E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11F3F"/>
    <w:multiLevelType w:val="hybridMultilevel"/>
    <w:tmpl w:val="B24EFB2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17403"/>
    <w:multiLevelType w:val="hybridMultilevel"/>
    <w:tmpl w:val="96A25B74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A3DF9"/>
    <w:multiLevelType w:val="hybridMultilevel"/>
    <w:tmpl w:val="97D2EF4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34885"/>
    <w:multiLevelType w:val="hybridMultilevel"/>
    <w:tmpl w:val="9B7A0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B5135"/>
    <w:multiLevelType w:val="hybridMultilevel"/>
    <w:tmpl w:val="3BC2F7C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37817"/>
    <w:multiLevelType w:val="hybridMultilevel"/>
    <w:tmpl w:val="D6366AE6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A73EB"/>
    <w:multiLevelType w:val="hybridMultilevel"/>
    <w:tmpl w:val="8AE8858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70768"/>
    <w:multiLevelType w:val="hybridMultilevel"/>
    <w:tmpl w:val="C864628A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05021"/>
    <w:multiLevelType w:val="hybridMultilevel"/>
    <w:tmpl w:val="B5728254"/>
    <w:lvl w:ilvl="0" w:tplc="7DE07AFC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62"/>
        </w:tabs>
        <w:ind w:left="4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82"/>
        </w:tabs>
        <w:ind w:left="5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</w:rPr>
    </w:lvl>
  </w:abstractNum>
  <w:abstractNum w:abstractNumId="12" w15:restartNumberingAfterBreak="0">
    <w:nsid w:val="25D87D5B"/>
    <w:multiLevelType w:val="hybridMultilevel"/>
    <w:tmpl w:val="EA2054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828D5"/>
    <w:multiLevelType w:val="multilevel"/>
    <w:tmpl w:val="5E124D6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pStyle w:val="Nagwek2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pStyle w:val="Nagwek3"/>
      <w:lvlText w:val="%1.%2.%3."/>
      <w:lvlJc w:val="left"/>
      <w:pPr>
        <w:ind w:left="1288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281432C1"/>
    <w:multiLevelType w:val="hybridMultilevel"/>
    <w:tmpl w:val="869EF5DA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53779"/>
    <w:multiLevelType w:val="hybridMultilevel"/>
    <w:tmpl w:val="85CAF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E126D"/>
    <w:multiLevelType w:val="singleLevel"/>
    <w:tmpl w:val="0C8C999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3C331DB4"/>
    <w:multiLevelType w:val="hybridMultilevel"/>
    <w:tmpl w:val="A9ACCEA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2192D"/>
    <w:multiLevelType w:val="hybridMultilevel"/>
    <w:tmpl w:val="2F52E4A6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A006F"/>
    <w:multiLevelType w:val="hybridMultilevel"/>
    <w:tmpl w:val="B1442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912D9"/>
    <w:multiLevelType w:val="hybridMultilevel"/>
    <w:tmpl w:val="7FD2FBC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B5DCA"/>
    <w:multiLevelType w:val="hybridMultilevel"/>
    <w:tmpl w:val="B9BCF6E4"/>
    <w:lvl w:ilvl="0" w:tplc="51664A4C">
      <w:start w:val="1"/>
      <w:numFmt w:val="bullet"/>
      <w:lvlText w:val="-"/>
      <w:lvlJc w:val="left"/>
      <w:pPr>
        <w:ind w:left="251" w:hanging="116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C18231FE">
      <w:start w:val="1"/>
      <w:numFmt w:val="bullet"/>
      <w:lvlText w:val="•"/>
      <w:lvlJc w:val="left"/>
      <w:pPr>
        <w:ind w:left="1170" w:hanging="116"/>
      </w:pPr>
      <w:rPr>
        <w:rFonts w:hint="default"/>
      </w:rPr>
    </w:lvl>
    <w:lvl w:ilvl="2" w:tplc="362EE396">
      <w:start w:val="1"/>
      <w:numFmt w:val="bullet"/>
      <w:lvlText w:val="•"/>
      <w:lvlJc w:val="left"/>
      <w:pPr>
        <w:ind w:left="2080" w:hanging="116"/>
      </w:pPr>
      <w:rPr>
        <w:rFonts w:hint="default"/>
      </w:rPr>
    </w:lvl>
    <w:lvl w:ilvl="3" w:tplc="84EA6FFA">
      <w:start w:val="1"/>
      <w:numFmt w:val="bullet"/>
      <w:lvlText w:val="•"/>
      <w:lvlJc w:val="left"/>
      <w:pPr>
        <w:ind w:left="2990" w:hanging="116"/>
      </w:pPr>
      <w:rPr>
        <w:rFonts w:hint="default"/>
      </w:rPr>
    </w:lvl>
    <w:lvl w:ilvl="4" w:tplc="4F54A738">
      <w:start w:val="1"/>
      <w:numFmt w:val="bullet"/>
      <w:lvlText w:val="•"/>
      <w:lvlJc w:val="left"/>
      <w:pPr>
        <w:ind w:left="3900" w:hanging="116"/>
      </w:pPr>
      <w:rPr>
        <w:rFonts w:hint="default"/>
      </w:rPr>
    </w:lvl>
    <w:lvl w:ilvl="5" w:tplc="8528EDE8">
      <w:start w:val="1"/>
      <w:numFmt w:val="bullet"/>
      <w:lvlText w:val="•"/>
      <w:lvlJc w:val="left"/>
      <w:pPr>
        <w:ind w:left="4810" w:hanging="116"/>
      </w:pPr>
      <w:rPr>
        <w:rFonts w:hint="default"/>
      </w:rPr>
    </w:lvl>
    <w:lvl w:ilvl="6" w:tplc="91FCEC18">
      <w:start w:val="1"/>
      <w:numFmt w:val="bullet"/>
      <w:lvlText w:val="•"/>
      <w:lvlJc w:val="left"/>
      <w:pPr>
        <w:ind w:left="5720" w:hanging="116"/>
      </w:pPr>
      <w:rPr>
        <w:rFonts w:hint="default"/>
      </w:rPr>
    </w:lvl>
    <w:lvl w:ilvl="7" w:tplc="1E46BA02">
      <w:start w:val="1"/>
      <w:numFmt w:val="bullet"/>
      <w:lvlText w:val="•"/>
      <w:lvlJc w:val="left"/>
      <w:pPr>
        <w:ind w:left="6630" w:hanging="116"/>
      </w:pPr>
      <w:rPr>
        <w:rFonts w:hint="default"/>
      </w:rPr>
    </w:lvl>
    <w:lvl w:ilvl="8" w:tplc="8D707FAE">
      <w:start w:val="1"/>
      <w:numFmt w:val="bullet"/>
      <w:lvlText w:val="•"/>
      <w:lvlJc w:val="left"/>
      <w:pPr>
        <w:ind w:left="7540" w:hanging="116"/>
      </w:pPr>
      <w:rPr>
        <w:rFonts w:hint="default"/>
      </w:rPr>
    </w:lvl>
  </w:abstractNum>
  <w:abstractNum w:abstractNumId="22" w15:restartNumberingAfterBreak="0">
    <w:nsid w:val="49975C90"/>
    <w:multiLevelType w:val="hybridMultilevel"/>
    <w:tmpl w:val="A6E0525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ED529B"/>
    <w:multiLevelType w:val="hybridMultilevel"/>
    <w:tmpl w:val="771622B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11AD4"/>
    <w:multiLevelType w:val="hybridMultilevel"/>
    <w:tmpl w:val="402AF676"/>
    <w:lvl w:ilvl="0" w:tplc="BAC4A9EE">
      <w:start w:val="1"/>
      <w:numFmt w:val="decimal"/>
      <w:lvlText w:val="%1."/>
      <w:lvlJc w:val="left"/>
      <w:pPr>
        <w:ind w:left="432" w:hanging="217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1" w:tplc="800E0176">
      <w:numFmt w:val="none"/>
      <w:lvlText w:val=""/>
      <w:lvlJc w:val="left"/>
      <w:pPr>
        <w:tabs>
          <w:tab w:val="num" w:pos="360"/>
        </w:tabs>
      </w:pPr>
    </w:lvl>
    <w:lvl w:ilvl="2" w:tplc="6E7607A0">
      <w:start w:val="1"/>
      <w:numFmt w:val="bullet"/>
      <w:lvlText w:val=""/>
      <w:lvlJc w:val="left"/>
      <w:pPr>
        <w:ind w:left="921" w:hanging="706"/>
      </w:pPr>
      <w:rPr>
        <w:rFonts w:ascii="Symbol" w:eastAsia="Symbol" w:hAnsi="Symbol" w:cs="Symbol" w:hint="default"/>
        <w:w w:val="100"/>
        <w:sz w:val="20"/>
        <w:szCs w:val="20"/>
      </w:rPr>
    </w:lvl>
    <w:lvl w:ilvl="3" w:tplc="DCF8C7A6">
      <w:start w:val="1"/>
      <w:numFmt w:val="bullet"/>
      <w:lvlText w:val="•"/>
      <w:lvlJc w:val="left"/>
      <w:pPr>
        <w:ind w:left="580" w:hanging="706"/>
      </w:pPr>
      <w:rPr>
        <w:rFonts w:hint="default"/>
      </w:rPr>
    </w:lvl>
    <w:lvl w:ilvl="4" w:tplc="C2360B70">
      <w:start w:val="1"/>
      <w:numFmt w:val="bullet"/>
      <w:lvlText w:val="•"/>
      <w:lvlJc w:val="left"/>
      <w:pPr>
        <w:ind w:left="840" w:hanging="706"/>
      </w:pPr>
      <w:rPr>
        <w:rFonts w:hint="default"/>
      </w:rPr>
    </w:lvl>
    <w:lvl w:ilvl="5" w:tplc="39BE878C">
      <w:start w:val="1"/>
      <w:numFmt w:val="bullet"/>
      <w:lvlText w:val="•"/>
      <w:lvlJc w:val="left"/>
      <w:pPr>
        <w:ind w:left="920" w:hanging="706"/>
      </w:pPr>
      <w:rPr>
        <w:rFonts w:hint="default"/>
      </w:rPr>
    </w:lvl>
    <w:lvl w:ilvl="6" w:tplc="77A429B2">
      <w:start w:val="1"/>
      <w:numFmt w:val="bullet"/>
      <w:lvlText w:val="•"/>
      <w:lvlJc w:val="left"/>
      <w:pPr>
        <w:ind w:left="2608" w:hanging="706"/>
      </w:pPr>
      <w:rPr>
        <w:rFonts w:hint="default"/>
      </w:rPr>
    </w:lvl>
    <w:lvl w:ilvl="7" w:tplc="0CF468FA">
      <w:start w:val="1"/>
      <w:numFmt w:val="bullet"/>
      <w:lvlText w:val="•"/>
      <w:lvlJc w:val="left"/>
      <w:pPr>
        <w:ind w:left="4296" w:hanging="706"/>
      </w:pPr>
      <w:rPr>
        <w:rFonts w:hint="default"/>
      </w:rPr>
    </w:lvl>
    <w:lvl w:ilvl="8" w:tplc="DDE4F12A">
      <w:start w:val="1"/>
      <w:numFmt w:val="bullet"/>
      <w:lvlText w:val="•"/>
      <w:lvlJc w:val="left"/>
      <w:pPr>
        <w:ind w:left="5984" w:hanging="706"/>
      </w:pPr>
      <w:rPr>
        <w:rFonts w:hint="default"/>
      </w:rPr>
    </w:lvl>
  </w:abstractNum>
  <w:abstractNum w:abstractNumId="25" w15:restartNumberingAfterBreak="0">
    <w:nsid w:val="530D70CA"/>
    <w:multiLevelType w:val="hybridMultilevel"/>
    <w:tmpl w:val="934681E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73BCD"/>
    <w:multiLevelType w:val="hybridMultilevel"/>
    <w:tmpl w:val="E892D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07578A"/>
    <w:multiLevelType w:val="hybridMultilevel"/>
    <w:tmpl w:val="B68EEA8C"/>
    <w:lvl w:ilvl="0" w:tplc="AFF62188">
      <w:start w:val="1"/>
      <w:numFmt w:val="decimal"/>
      <w:lvlText w:val="%1."/>
      <w:lvlJc w:val="left"/>
      <w:pPr>
        <w:ind w:left="136" w:hanging="217"/>
      </w:pPr>
      <w:rPr>
        <w:rFonts w:ascii="Calibri" w:eastAsia="Calibri" w:hAnsi="Calibri" w:cs="Calibri" w:hint="default"/>
        <w:spacing w:val="-2"/>
        <w:w w:val="100"/>
        <w:sz w:val="22"/>
        <w:szCs w:val="22"/>
      </w:rPr>
    </w:lvl>
    <w:lvl w:ilvl="1" w:tplc="BE509C72">
      <w:start w:val="1"/>
      <w:numFmt w:val="decimal"/>
      <w:lvlText w:val="%2."/>
      <w:lvlJc w:val="left"/>
      <w:pPr>
        <w:ind w:left="921" w:hanging="706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2" w:tplc="2D7C59DE">
      <w:numFmt w:val="none"/>
      <w:lvlText w:val=""/>
      <w:lvlJc w:val="left"/>
      <w:pPr>
        <w:tabs>
          <w:tab w:val="num" w:pos="360"/>
        </w:tabs>
      </w:pPr>
    </w:lvl>
    <w:lvl w:ilvl="3" w:tplc="246CB3F6">
      <w:numFmt w:val="none"/>
      <w:lvlText w:val=""/>
      <w:lvlJc w:val="left"/>
      <w:pPr>
        <w:tabs>
          <w:tab w:val="num" w:pos="360"/>
        </w:tabs>
      </w:pPr>
    </w:lvl>
    <w:lvl w:ilvl="4" w:tplc="93D0034C">
      <w:start w:val="1"/>
      <w:numFmt w:val="bullet"/>
      <w:lvlText w:val=""/>
      <w:lvlJc w:val="left"/>
      <w:pPr>
        <w:ind w:left="856" w:hanging="706"/>
      </w:pPr>
      <w:rPr>
        <w:rFonts w:ascii="Symbol" w:eastAsia="Symbol" w:hAnsi="Symbol" w:cs="Symbol" w:hint="default"/>
        <w:w w:val="100"/>
        <w:sz w:val="20"/>
        <w:szCs w:val="20"/>
      </w:rPr>
    </w:lvl>
    <w:lvl w:ilvl="5" w:tplc="D7CC60EC">
      <w:start w:val="1"/>
      <w:numFmt w:val="bullet"/>
      <w:lvlText w:val="•"/>
      <w:lvlJc w:val="left"/>
      <w:pPr>
        <w:ind w:left="840" w:hanging="706"/>
      </w:pPr>
      <w:rPr>
        <w:rFonts w:hint="default"/>
      </w:rPr>
    </w:lvl>
    <w:lvl w:ilvl="6" w:tplc="ADC636DE">
      <w:start w:val="1"/>
      <w:numFmt w:val="bullet"/>
      <w:lvlText w:val="•"/>
      <w:lvlJc w:val="left"/>
      <w:pPr>
        <w:ind w:left="860" w:hanging="706"/>
      </w:pPr>
      <w:rPr>
        <w:rFonts w:hint="default"/>
      </w:rPr>
    </w:lvl>
    <w:lvl w:ilvl="7" w:tplc="3348A51E">
      <w:start w:val="1"/>
      <w:numFmt w:val="bullet"/>
      <w:lvlText w:val="•"/>
      <w:lvlJc w:val="left"/>
      <w:pPr>
        <w:ind w:left="920" w:hanging="706"/>
      </w:pPr>
      <w:rPr>
        <w:rFonts w:hint="default"/>
      </w:rPr>
    </w:lvl>
    <w:lvl w:ilvl="8" w:tplc="DC8A43D4">
      <w:start w:val="1"/>
      <w:numFmt w:val="bullet"/>
      <w:lvlText w:val="•"/>
      <w:lvlJc w:val="left"/>
      <w:pPr>
        <w:ind w:left="3733" w:hanging="706"/>
      </w:pPr>
      <w:rPr>
        <w:rFonts w:hint="default"/>
      </w:rPr>
    </w:lvl>
  </w:abstractNum>
  <w:abstractNum w:abstractNumId="28" w15:restartNumberingAfterBreak="0">
    <w:nsid w:val="59100EAC"/>
    <w:multiLevelType w:val="hybridMultilevel"/>
    <w:tmpl w:val="10EEC000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D0A6E"/>
    <w:multiLevelType w:val="hybridMultilevel"/>
    <w:tmpl w:val="BAAC07B2"/>
    <w:lvl w:ilvl="0" w:tplc="7DE07AFC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62"/>
        </w:tabs>
        <w:ind w:left="4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82"/>
        </w:tabs>
        <w:ind w:left="5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</w:rPr>
    </w:lvl>
  </w:abstractNum>
  <w:abstractNum w:abstractNumId="30" w15:restartNumberingAfterBreak="0">
    <w:nsid w:val="5C305967"/>
    <w:multiLevelType w:val="hybridMultilevel"/>
    <w:tmpl w:val="22B6104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33FD5"/>
    <w:multiLevelType w:val="hybridMultilevel"/>
    <w:tmpl w:val="1E4A4EA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46379"/>
    <w:multiLevelType w:val="hybridMultilevel"/>
    <w:tmpl w:val="E376E36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925242"/>
    <w:multiLevelType w:val="hybridMultilevel"/>
    <w:tmpl w:val="D990037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67A37"/>
    <w:multiLevelType w:val="hybridMultilevel"/>
    <w:tmpl w:val="7C5AF9D6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D94A17"/>
    <w:multiLevelType w:val="hybridMultilevel"/>
    <w:tmpl w:val="3DFEAE70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A394E"/>
    <w:multiLevelType w:val="hybridMultilevel"/>
    <w:tmpl w:val="24B0C9C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158CD"/>
    <w:multiLevelType w:val="hybridMultilevel"/>
    <w:tmpl w:val="D5ACB0C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3D7C82"/>
    <w:multiLevelType w:val="hybridMultilevel"/>
    <w:tmpl w:val="9A924C42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6918ED"/>
    <w:multiLevelType w:val="hybridMultilevel"/>
    <w:tmpl w:val="CB6A5632"/>
    <w:lvl w:ilvl="0" w:tplc="7DE07AFC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62"/>
        </w:tabs>
        <w:ind w:left="4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82"/>
        </w:tabs>
        <w:ind w:left="5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</w:rPr>
    </w:lvl>
  </w:abstractNum>
  <w:abstractNum w:abstractNumId="40" w15:restartNumberingAfterBreak="0">
    <w:nsid w:val="7C022265"/>
    <w:multiLevelType w:val="hybridMultilevel"/>
    <w:tmpl w:val="60AE911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0165E6"/>
    <w:multiLevelType w:val="hybridMultilevel"/>
    <w:tmpl w:val="0A5847E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15"/>
  </w:num>
  <w:num w:numId="5">
    <w:abstractNumId w:val="22"/>
  </w:num>
  <w:num w:numId="6">
    <w:abstractNumId w:val="33"/>
  </w:num>
  <w:num w:numId="7">
    <w:abstractNumId w:val="8"/>
  </w:num>
  <w:num w:numId="8">
    <w:abstractNumId w:val="2"/>
  </w:num>
  <w:num w:numId="9">
    <w:abstractNumId w:val="7"/>
  </w:num>
  <w:num w:numId="10">
    <w:abstractNumId w:val="41"/>
  </w:num>
  <w:num w:numId="11">
    <w:abstractNumId w:val="27"/>
  </w:num>
  <w:num w:numId="12">
    <w:abstractNumId w:val="21"/>
  </w:num>
  <w:num w:numId="13">
    <w:abstractNumId w:val="24"/>
  </w:num>
  <w:num w:numId="14">
    <w:abstractNumId w:val="14"/>
  </w:num>
  <w:num w:numId="15">
    <w:abstractNumId w:val="12"/>
  </w:num>
  <w:num w:numId="16">
    <w:abstractNumId w:val="34"/>
  </w:num>
  <w:num w:numId="17">
    <w:abstractNumId w:val="17"/>
  </w:num>
  <w:num w:numId="18">
    <w:abstractNumId w:val="31"/>
  </w:num>
  <w:num w:numId="19">
    <w:abstractNumId w:val="18"/>
  </w:num>
  <w:num w:numId="20">
    <w:abstractNumId w:val="38"/>
  </w:num>
  <w:num w:numId="21">
    <w:abstractNumId w:val="36"/>
  </w:num>
  <w:num w:numId="22">
    <w:abstractNumId w:val="40"/>
  </w:num>
  <w:num w:numId="23">
    <w:abstractNumId w:val="1"/>
  </w:num>
  <w:num w:numId="24">
    <w:abstractNumId w:val="25"/>
  </w:num>
  <w:num w:numId="25">
    <w:abstractNumId w:val="3"/>
  </w:num>
  <w:num w:numId="26">
    <w:abstractNumId w:val="5"/>
  </w:num>
  <w:num w:numId="27">
    <w:abstractNumId w:val="16"/>
  </w:num>
  <w:num w:numId="28">
    <w:abstractNumId w:val="29"/>
  </w:num>
  <w:num w:numId="29">
    <w:abstractNumId w:val="39"/>
  </w:num>
  <w:num w:numId="30">
    <w:abstractNumId w:val="11"/>
  </w:num>
  <w:num w:numId="31">
    <w:abstractNumId w:val="26"/>
  </w:num>
  <w:num w:numId="32">
    <w:abstractNumId w:val="32"/>
  </w:num>
  <w:num w:numId="33">
    <w:abstractNumId w:val="20"/>
  </w:num>
  <w:num w:numId="34">
    <w:abstractNumId w:val="6"/>
  </w:num>
  <w:num w:numId="35">
    <w:abstractNumId w:val="19"/>
  </w:num>
  <w:num w:numId="36">
    <w:abstractNumId w:val="4"/>
  </w:num>
  <w:num w:numId="37">
    <w:abstractNumId w:val="37"/>
  </w:num>
  <w:num w:numId="38">
    <w:abstractNumId w:val="35"/>
  </w:num>
  <w:num w:numId="39">
    <w:abstractNumId w:val="30"/>
  </w:num>
  <w:num w:numId="40">
    <w:abstractNumId w:val="28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</w:num>
  <w:num w:numId="43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EFC"/>
    <w:rsid w:val="00006172"/>
    <w:rsid w:val="00017AF9"/>
    <w:rsid w:val="000425BD"/>
    <w:rsid w:val="000567EB"/>
    <w:rsid w:val="00063D49"/>
    <w:rsid w:val="00072408"/>
    <w:rsid w:val="000941FF"/>
    <w:rsid w:val="00094A75"/>
    <w:rsid w:val="000B48EA"/>
    <w:rsid w:val="000B673F"/>
    <w:rsid w:val="000D33D9"/>
    <w:rsid w:val="000F5A2C"/>
    <w:rsid w:val="001111E2"/>
    <w:rsid w:val="0011633E"/>
    <w:rsid w:val="0012095E"/>
    <w:rsid w:val="00165E1D"/>
    <w:rsid w:val="001819AF"/>
    <w:rsid w:val="001828D1"/>
    <w:rsid w:val="00187CDC"/>
    <w:rsid w:val="00197C06"/>
    <w:rsid w:val="001C7D04"/>
    <w:rsid w:val="001D5FCA"/>
    <w:rsid w:val="001E2FD6"/>
    <w:rsid w:val="001F6236"/>
    <w:rsid w:val="00204A00"/>
    <w:rsid w:val="0021131E"/>
    <w:rsid w:val="002148B2"/>
    <w:rsid w:val="002227CD"/>
    <w:rsid w:val="00230B43"/>
    <w:rsid w:val="00247944"/>
    <w:rsid w:val="00266E7D"/>
    <w:rsid w:val="00272089"/>
    <w:rsid w:val="002940CC"/>
    <w:rsid w:val="002A09F3"/>
    <w:rsid w:val="002B18BA"/>
    <w:rsid w:val="002B4465"/>
    <w:rsid w:val="002B7EA2"/>
    <w:rsid w:val="002C0C2F"/>
    <w:rsid w:val="002D2E6E"/>
    <w:rsid w:val="002E5E2B"/>
    <w:rsid w:val="002E5EFC"/>
    <w:rsid w:val="002E650F"/>
    <w:rsid w:val="002F2638"/>
    <w:rsid w:val="002F6571"/>
    <w:rsid w:val="00320602"/>
    <w:rsid w:val="00376C88"/>
    <w:rsid w:val="003A4335"/>
    <w:rsid w:val="003A764C"/>
    <w:rsid w:val="003A7E2E"/>
    <w:rsid w:val="003B1D49"/>
    <w:rsid w:val="003B3AB8"/>
    <w:rsid w:val="003C123C"/>
    <w:rsid w:val="003C4407"/>
    <w:rsid w:val="00423845"/>
    <w:rsid w:val="00430717"/>
    <w:rsid w:val="00434A1D"/>
    <w:rsid w:val="00437271"/>
    <w:rsid w:val="0044044F"/>
    <w:rsid w:val="004422E8"/>
    <w:rsid w:val="00452076"/>
    <w:rsid w:val="00464D5F"/>
    <w:rsid w:val="00471B1A"/>
    <w:rsid w:val="00472BDF"/>
    <w:rsid w:val="004B3DCD"/>
    <w:rsid w:val="004B5428"/>
    <w:rsid w:val="004E208C"/>
    <w:rsid w:val="004E328F"/>
    <w:rsid w:val="004F2BEC"/>
    <w:rsid w:val="00503421"/>
    <w:rsid w:val="00505D13"/>
    <w:rsid w:val="00506D10"/>
    <w:rsid w:val="00514F0E"/>
    <w:rsid w:val="005161F0"/>
    <w:rsid w:val="005206A1"/>
    <w:rsid w:val="0054547B"/>
    <w:rsid w:val="00551F48"/>
    <w:rsid w:val="00561743"/>
    <w:rsid w:val="00584851"/>
    <w:rsid w:val="005A142A"/>
    <w:rsid w:val="005A3D91"/>
    <w:rsid w:val="005B42EE"/>
    <w:rsid w:val="005D032E"/>
    <w:rsid w:val="005D42EB"/>
    <w:rsid w:val="005D603B"/>
    <w:rsid w:val="005D6446"/>
    <w:rsid w:val="005E6196"/>
    <w:rsid w:val="005F6DD2"/>
    <w:rsid w:val="00605180"/>
    <w:rsid w:val="006231EB"/>
    <w:rsid w:val="00631F9F"/>
    <w:rsid w:val="00633FE4"/>
    <w:rsid w:val="006418B6"/>
    <w:rsid w:val="00652279"/>
    <w:rsid w:val="0067442A"/>
    <w:rsid w:val="006772E3"/>
    <w:rsid w:val="00685153"/>
    <w:rsid w:val="006A6FA8"/>
    <w:rsid w:val="006C1A60"/>
    <w:rsid w:val="006E1411"/>
    <w:rsid w:val="006E2F3D"/>
    <w:rsid w:val="006E733E"/>
    <w:rsid w:val="006F2C57"/>
    <w:rsid w:val="00730067"/>
    <w:rsid w:val="007330FB"/>
    <w:rsid w:val="00736ADE"/>
    <w:rsid w:val="0074748B"/>
    <w:rsid w:val="00757A3B"/>
    <w:rsid w:val="00774BF5"/>
    <w:rsid w:val="007B3B52"/>
    <w:rsid w:val="007B7F08"/>
    <w:rsid w:val="007C0F8E"/>
    <w:rsid w:val="007E2642"/>
    <w:rsid w:val="007F092B"/>
    <w:rsid w:val="007F0E15"/>
    <w:rsid w:val="00800DCB"/>
    <w:rsid w:val="00812C1E"/>
    <w:rsid w:val="008176AB"/>
    <w:rsid w:val="008334E8"/>
    <w:rsid w:val="00847A6E"/>
    <w:rsid w:val="00896C20"/>
    <w:rsid w:val="008B7464"/>
    <w:rsid w:val="008C1467"/>
    <w:rsid w:val="008C5C51"/>
    <w:rsid w:val="008C7A31"/>
    <w:rsid w:val="008D08AD"/>
    <w:rsid w:val="008E2F6E"/>
    <w:rsid w:val="008E77D7"/>
    <w:rsid w:val="00913057"/>
    <w:rsid w:val="00931A4E"/>
    <w:rsid w:val="0094687A"/>
    <w:rsid w:val="00952367"/>
    <w:rsid w:val="00952AA6"/>
    <w:rsid w:val="00963C7F"/>
    <w:rsid w:val="00970545"/>
    <w:rsid w:val="00974025"/>
    <w:rsid w:val="009B06D6"/>
    <w:rsid w:val="009B62DF"/>
    <w:rsid w:val="009C4B65"/>
    <w:rsid w:val="009E6B68"/>
    <w:rsid w:val="009F0A61"/>
    <w:rsid w:val="009F6222"/>
    <w:rsid w:val="00A05589"/>
    <w:rsid w:val="00A06101"/>
    <w:rsid w:val="00A2364F"/>
    <w:rsid w:val="00A30433"/>
    <w:rsid w:val="00A349D2"/>
    <w:rsid w:val="00A521EF"/>
    <w:rsid w:val="00A61343"/>
    <w:rsid w:val="00A63DB9"/>
    <w:rsid w:val="00A8124A"/>
    <w:rsid w:val="00AC023C"/>
    <w:rsid w:val="00AD5D32"/>
    <w:rsid w:val="00AD718E"/>
    <w:rsid w:val="00B33930"/>
    <w:rsid w:val="00B40A43"/>
    <w:rsid w:val="00B45E3A"/>
    <w:rsid w:val="00B534C3"/>
    <w:rsid w:val="00B718C5"/>
    <w:rsid w:val="00B76A35"/>
    <w:rsid w:val="00B8167B"/>
    <w:rsid w:val="00B86B2C"/>
    <w:rsid w:val="00B91F51"/>
    <w:rsid w:val="00B955CB"/>
    <w:rsid w:val="00BA3B5F"/>
    <w:rsid w:val="00BA6A8C"/>
    <w:rsid w:val="00BC1D8F"/>
    <w:rsid w:val="00BC26FD"/>
    <w:rsid w:val="00BC294B"/>
    <w:rsid w:val="00C037C5"/>
    <w:rsid w:val="00C05FEA"/>
    <w:rsid w:val="00C17A70"/>
    <w:rsid w:val="00C231B6"/>
    <w:rsid w:val="00C27CDD"/>
    <w:rsid w:val="00C313D3"/>
    <w:rsid w:val="00C42C39"/>
    <w:rsid w:val="00C577B0"/>
    <w:rsid w:val="00C65E6A"/>
    <w:rsid w:val="00C77F8A"/>
    <w:rsid w:val="00C836D7"/>
    <w:rsid w:val="00CA5C51"/>
    <w:rsid w:val="00CB3768"/>
    <w:rsid w:val="00CB4176"/>
    <w:rsid w:val="00CB780C"/>
    <w:rsid w:val="00CC4B16"/>
    <w:rsid w:val="00CD67E1"/>
    <w:rsid w:val="00CE2AFA"/>
    <w:rsid w:val="00CF2DD6"/>
    <w:rsid w:val="00D01BD2"/>
    <w:rsid w:val="00D14D6E"/>
    <w:rsid w:val="00D56F8F"/>
    <w:rsid w:val="00D7065F"/>
    <w:rsid w:val="00D82087"/>
    <w:rsid w:val="00DA470D"/>
    <w:rsid w:val="00DB0BB2"/>
    <w:rsid w:val="00DC0FE9"/>
    <w:rsid w:val="00DC1AD6"/>
    <w:rsid w:val="00DC4EFA"/>
    <w:rsid w:val="00DE0724"/>
    <w:rsid w:val="00E032BD"/>
    <w:rsid w:val="00E21FE3"/>
    <w:rsid w:val="00E25CA3"/>
    <w:rsid w:val="00E41016"/>
    <w:rsid w:val="00E52A0C"/>
    <w:rsid w:val="00E61392"/>
    <w:rsid w:val="00E6141F"/>
    <w:rsid w:val="00E80914"/>
    <w:rsid w:val="00E8290C"/>
    <w:rsid w:val="00E82DBB"/>
    <w:rsid w:val="00E91659"/>
    <w:rsid w:val="00EA2375"/>
    <w:rsid w:val="00ED60DF"/>
    <w:rsid w:val="00EF0147"/>
    <w:rsid w:val="00EF3F1E"/>
    <w:rsid w:val="00F07CB9"/>
    <w:rsid w:val="00F24618"/>
    <w:rsid w:val="00F27636"/>
    <w:rsid w:val="00F44C5F"/>
    <w:rsid w:val="00F50EB3"/>
    <w:rsid w:val="00F5763F"/>
    <w:rsid w:val="00F717DC"/>
    <w:rsid w:val="00F73611"/>
    <w:rsid w:val="00FB6328"/>
    <w:rsid w:val="00FC4F01"/>
    <w:rsid w:val="00FE7D40"/>
    <w:rsid w:val="00FF3413"/>
    <w:rsid w:val="00FF570D"/>
    <w:rsid w:val="00FF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A4D1ACBF-A223-4AAE-A0FE-17D9BEE6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A70"/>
    <w:pPr>
      <w:tabs>
        <w:tab w:val="left" w:pos="284"/>
      </w:tabs>
      <w:spacing w:after="0" w:line="336" w:lineRule="auto"/>
      <w:jc w:val="both"/>
    </w:pPr>
    <w:rPr>
      <w:rFonts w:cs="Times-Roman"/>
    </w:rPr>
  </w:style>
  <w:style w:type="paragraph" w:styleId="Nagwek1">
    <w:name w:val="heading 1"/>
    <w:basedOn w:val="Normalny"/>
    <w:next w:val="Normalny"/>
    <w:link w:val="Nagwek1Znak"/>
    <w:qFormat/>
    <w:rsid w:val="0094687A"/>
    <w:pPr>
      <w:keepNext/>
      <w:widowControl w:val="0"/>
      <w:numPr>
        <w:numId w:val="1"/>
      </w:numPr>
      <w:autoSpaceDE w:val="0"/>
      <w:autoSpaceDN w:val="0"/>
      <w:adjustRightInd w:val="0"/>
      <w:spacing w:before="240"/>
      <w:ind w:left="35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376C88"/>
    <w:pPr>
      <w:keepNext/>
      <w:numPr>
        <w:ilvl w:val="1"/>
        <w:numId w:val="1"/>
      </w:numPr>
      <w:spacing w:before="60" w:after="60"/>
      <w:ind w:left="709" w:hanging="502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7E2642"/>
    <w:pPr>
      <w:keepNext/>
      <w:numPr>
        <w:ilvl w:val="2"/>
        <w:numId w:val="1"/>
      </w:numPr>
      <w:tabs>
        <w:tab w:val="clear" w:pos="284"/>
      </w:tabs>
      <w:spacing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1828D1"/>
    <w:pPr>
      <w:numPr>
        <w:ilvl w:val="3"/>
        <w:numId w:val="1"/>
      </w:numPr>
      <w:spacing w:before="120" w:after="60"/>
      <w:ind w:left="1145"/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4687A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76C88"/>
    <w:rPr>
      <w:rFonts w:eastAsia="TimesNewRoman,Bold" w:cs="TimesNewRoman,Bold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E2642"/>
    <w:rPr>
      <w:rFonts w:eastAsia="Times New Roman" w:cs="Times New Roman"/>
      <w:bCs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1828D1"/>
    <w:rPr>
      <w:rFonts w:cs="Times-Roman"/>
    </w:rPr>
  </w:style>
  <w:style w:type="character" w:customStyle="1" w:styleId="Nagwek5Znak">
    <w:name w:val="Nagłówek 5 Znak"/>
    <w:basedOn w:val="Domylnaczcionkaakapitu"/>
    <w:link w:val="Nagwek5"/>
    <w:uiPriority w:val="9"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ylIwony">
    <w:name w:val="Styl Iwony"/>
    <w:basedOn w:val="Normalny"/>
    <w:rsid w:val="00652279"/>
    <w:pPr>
      <w:tabs>
        <w:tab w:val="clear" w:pos="284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22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279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A142A"/>
    <w:rPr>
      <w:color w:val="808080"/>
    </w:rPr>
  </w:style>
  <w:style w:type="paragraph" w:customStyle="1" w:styleId="Nagwek31">
    <w:name w:val="Nagłówek 31"/>
    <w:basedOn w:val="Normalny"/>
    <w:uiPriority w:val="1"/>
    <w:qFormat/>
    <w:rsid w:val="007B3B52"/>
    <w:pPr>
      <w:widowControl w:val="0"/>
      <w:tabs>
        <w:tab w:val="clear" w:pos="284"/>
      </w:tabs>
      <w:spacing w:line="240" w:lineRule="auto"/>
      <w:ind w:left="841" w:hanging="705"/>
      <w:outlineLvl w:val="3"/>
    </w:pPr>
    <w:rPr>
      <w:rFonts w:ascii="Calibri" w:eastAsia="Calibri" w:hAnsi="Calibri" w:cs="Calibri"/>
      <w:b/>
      <w:bCs/>
      <w:lang w:val="en-US"/>
    </w:rPr>
  </w:style>
  <w:style w:type="paragraph" w:customStyle="1" w:styleId="Default">
    <w:name w:val="Default"/>
    <w:rsid w:val="002479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717DC"/>
    <w:pPr>
      <w:tabs>
        <w:tab w:val="left" w:pos="284"/>
      </w:tabs>
      <w:spacing w:after="0" w:line="240" w:lineRule="auto"/>
      <w:jc w:val="both"/>
    </w:pPr>
    <w:rPr>
      <w:rFonts w:cs="Times-Roman"/>
    </w:rPr>
  </w:style>
  <w:style w:type="character" w:styleId="Hipercze">
    <w:name w:val="Hyperlink"/>
    <w:basedOn w:val="Domylnaczcionkaakapitu"/>
    <w:uiPriority w:val="99"/>
    <w:unhideWhenUsed/>
    <w:rsid w:val="008C7A31"/>
    <w:rPr>
      <w:color w:val="0000FF" w:themeColor="hyperlink"/>
      <w:u w:val="single"/>
    </w:rPr>
  </w:style>
  <w:style w:type="character" w:customStyle="1" w:styleId="attribute">
    <w:name w:val="attribute"/>
    <w:basedOn w:val="Domylnaczcionkaakapitu"/>
    <w:rsid w:val="002F2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javascript:submit2_1()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2906</Words>
  <Characters>17441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Radosław Łukaszewicz</cp:lastModifiedBy>
  <cp:revision>8</cp:revision>
  <dcterms:created xsi:type="dcterms:W3CDTF">2017-01-09T12:59:00Z</dcterms:created>
  <dcterms:modified xsi:type="dcterms:W3CDTF">2019-05-31T09:30:00Z</dcterms:modified>
</cp:coreProperties>
</file>